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1A57B" w14:textId="77777777" w:rsidR="0030333A" w:rsidRDefault="0030333A">
      <w:pPr>
        <w:widowControl/>
        <w:ind w:left="1120" w:hangingChars="350" w:hanging="1120"/>
        <w:jc w:val="left"/>
        <w:rPr>
          <w:rFonts w:ascii="黑体" w:eastAsia="黑体" w:hAnsi="黑体"/>
          <w:sz w:val="32"/>
          <w:szCs w:val="32"/>
        </w:rPr>
      </w:pPr>
    </w:p>
    <w:p w14:paraId="77D65E29" w14:textId="77777777" w:rsidR="0030333A" w:rsidRDefault="00000000">
      <w:pPr>
        <w:widowControl/>
        <w:ind w:firstLineChars="0" w:firstLine="0"/>
        <w:jc w:val="center"/>
        <w:rPr>
          <w:rFonts w:ascii="黑体" w:eastAsia="黑体" w:hAnsi="黑体"/>
          <w:szCs w:val="28"/>
        </w:rPr>
      </w:pPr>
      <w:r>
        <w:rPr>
          <w:rFonts w:ascii="黑体" w:eastAsia="黑体" w:hAnsi="黑体"/>
          <w:noProof/>
          <w:szCs w:val="28"/>
        </w:rPr>
        <w:drawing>
          <wp:inline distT="0" distB="0" distL="0" distR="0" wp14:anchorId="456478A1" wp14:editId="3A74A309">
            <wp:extent cx="1079500" cy="935990"/>
            <wp:effectExtent l="0" t="0" r="0" b="0"/>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
                    <pic:cNvPicPr>
                      <a:picLocks noChangeAspect="1"/>
                    </pic:cNvPicPr>
                  </pic:nvPicPr>
                  <pic:blipFill>
                    <a:blip r:embed="rId7" cstate="print"/>
                    <a:srcRect/>
                    <a:stretch>
                      <a:fillRect/>
                    </a:stretch>
                  </pic:blipFill>
                  <pic:spPr>
                    <a:xfrm>
                      <a:off x="0" y="0"/>
                      <a:ext cx="1080000" cy="936000"/>
                    </a:xfrm>
                    <a:prstGeom prst="rect">
                      <a:avLst/>
                    </a:prstGeom>
                  </pic:spPr>
                </pic:pic>
              </a:graphicData>
            </a:graphic>
          </wp:inline>
        </w:drawing>
      </w:r>
    </w:p>
    <w:p w14:paraId="75E73C1C" w14:textId="77777777" w:rsidR="0030333A" w:rsidRDefault="00000000">
      <w:pPr>
        <w:widowControl/>
        <w:spacing w:before="120" w:line="400" w:lineRule="exact"/>
        <w:ind w:firstLineChars="0" w:firstLine="0"/>
        <w:jc w:val="center"/>
        <w:rPr>
          <w:rFonts w:ascii="MS Reference Sans Serif" w:eastAsia="Microsoft YaHei UI" w:hAnsi="MS Reference Sans Serif" w:cs="Times New Roman"/>
          <w:color w:val="FFFFFF"/>
          <w:sz w:val="32"/>
          <w:szCs w:val="32"/>
        </w:rPr>
      </w:pPr>
      <w:r>
        <w:rPr>
          <w:rFonts w:ascii="MS Reference Sans Serif" w:eastAsia="Microsoft YaHei UI" w:hAnsi="MS Reference Sans Serif" w:cs="Times New Roman"/>
          <w:color w:val="FFFFFF"/>
          <w:sz w:val="32"/>
          <w:szCs w:val="32"/>
          <w:highlight w:val="red"/>
        </w:rPr>
        <w:t>International Red Newsletter</w:t>
      </w:r>
    </w:p>
    <w:p w14:paraId="42F9E9B2" w14:textId="77777777" w:rsidR="0030333A" w:rsidRDefault="0030333A">
      <w:pPr>
        <w:widowControl/>
        <w:ind w:left="1120" w:hangingChars="350" w:hanging="1120"/>
        <w:jc w:val="left"/>
        <w:rPr>
          <w:rFonts w:ascii="黑体" w:eastAsia="黑体" w:hAnsi="黑体"/>
          <w:sz w:val="32"/>
          <w:szCs w:val="32"/>
        </w:rPr>
      </w:pPr>
    </w:p>
    <w:p w14:paraId="7F247943" w14:textId="2990D40A" w:rsidR="007A655B" w:rsidRPr="007A655B" w:rsidRDefault="00000000">
      <w:pPr>
        <w:pStyle w:val="TOC1"/>
        <w:rPr>
          <w:rFonts w:asciiTheme="minorHAnsi" w:eastAsiaTheme="minorEastAsia" w:hAnsiTheme="minorHAnsi" w:cstheme="minorBidi"/>
          <w:noProof/>
          <w:w w:val="100"/>
          <w:sz w:val="21"/>
          <w:szCs w:val="22"/>
          <w14:ligatures w14:val="standardContextual"/>
        </w:rPr>
      </w:pPr>
      <w:r>
        <w:rPr>
          <w:w w:val="100"/>
        </w:rPr>
        <w:fldChar w:fldCharType="begin"/>
      </w:r>
      <w:r>
        <w:rPr>
          <w:w w:val="100"/>
        </w:rPr>
        <w:instrText xml:space="preserve"> TOC \o "1-3" \h \z \u </w:instrText>
      </w:r>
      <w:r>
        <w:rPr>
          <w:w w:val="100"/>
        </w:rPr>
        <w:fldChar w:fldCharType="separate"/>
      </w:r>
      <w:hyperlink w:anchor="_Toc167524586" w:history="1">
        <w:r w:rsidR="007A655B" w:rsidRPr="007A655B">
          <w:rPr>
            <w:rStyle w:val="afd"/>
            <w:rFonts w:ascii="黑体" w:eastAsia="黑体" w:hAnsi="黑体"/>
            <w:noProof/>
            <w:w w:val="100"/>
          </w:rPr>
          <w:t>谷歌工程师因支持巴勒斯坦而遭解雇</w:t>
        </w:r>
        <w:r w:rsidR="007A655B" w:rsidRPr="007A655B">
          <w:rPr>
            <w:noProof/>
            <w:webHidden/>
            <w:w w:val="100"/>
          </w:rPr>
          <w:tab/>
        </w:r>
        <w:r w:rsidR="007A655B" w:rsidRPr="007A655B">
          <w:rPr>
            <w:noProof/>
            <w:webHidden/>
            <w:w w:val="100"/>
          </w:rPr>
          <w:fldChar w:fldCharType="begin"/>
        </w:r>
        <w:r w:rsidR="007A655B" w:rsidRPr="007A655B">
          <w:rPr>
            <w:noProof/>
            <w:webHidden/>
            <w:w w:val="100"/>
          </w:rPr>
          <w:instrText xml:space="preserve"> PAGEREF _Toc167524586 \h </w:instrText>
        </w:r>
        <w:r w:rsidR="007A655B" w:rsidRPr="007A655B">
          <w:rPr>
            <w:noProof/>
            <w:webHidden/>
            <w:w w:val="100"/>
          </w:rPr>
        </w:r>
        <w:r w:rsidR="007A655B" w:rsidRPr="007A655B">
          <w:rPr>
            <w:noProof/>
            <w:webHidden/>
            <w:w w:val="100"/>
          </w:rPr>
          <w:fldChar w:fldCharType="separate"/>
        </w:r>
        <w:r w:rsidR="00B715FB">
          <w:rPr>
            <w:noProof/>
            <w:webHidden/>
            <w:w w:val="100"/>
          </w:rPr>
          <w:t>1</w:t>
        </w:r>
        <w:r w:rsidR="007A655B" w:rsidRPr="007A655B">
          <w:rPr>
            <w:noProof/>
            <w:webHidden/>
            <w:w w:val="100"/>
          </w:rPr>
          <w:fldChar w:fldCharType="end"/>
        </w:r>
      </w:hyperlink>
    </w:p>
    <w:p w14:paraId="354CFD38" w14:textId="3B5E9A04" w:rsidR="007A655B" w:rsidRPr="007A655B" w:rsidRDefault="00000000">
      <w:pPr>
        <w:pStyle w:val="TOC1"/>
        <w:rPr>
          <w:rFonts w:asciiTheme="minorHAnsi" w:eastAsiaTheme="minorEastAsia" w:hAnsiTheme="minorHAnsi" w:cstheme="minorBidi"/>
          <w:noProof/>
          <w:w w:val="100"/>
          <w:sz w:val="21"/>
          <w:szCs w:val="22"/>
          <w14:ligatures w14:val="standardContextual"/>
        </w:rPr>
      </w:pPr>
      <w:hyperlink w:anchor="_Toc167524587" w:history="1">
        <w:r w:rsidR="007A655B" w:rsidRPr="007A655B">
          <w:rPr>
            <w:rStyle w:val="afd"/>
            <w:rFonts w:ascii="黑体" w:eastAsia="黑体" w:hAnsi="黑体"/>
            <w:noProof/>
            <w:w w:val="100"/>
          </w:rPr>
          <w:t>希腊共产党评乌克兰战争两周年</w:t>
        </w:r>
        <w:r w:rsidR="007A655B" w:rsidRPr="007A655B">
          <w:rPr>
            <w:noProof/>
            <w:webHidden/>
            <w:w w:val="100"/>
          </w:rPr>
          <w:tab/>
        </w:r>
        <w:r w:rsidR="007A655B" w:rsidRPr="007A655B">
          <w:rPr>
            <w:noProof/>
            <w:webHidden/>
            <w:w w:val="100"/>
          </w:rPr>
          <w:fldChar w:fldCharType="begin"/>
        </w:r>
        <w:r w:rsidR="007A655B" w:rsidRPr="007A655B">
          <w:rPr>
            <w:noProof/>
            <w:webHidden/>
            <w:w w:val="100"/>
          </w:rPr>
          <w:instrText xml:space="preserve"> PAGEREF _Toc167524587 \h </w:instrText>
        </w:r>
        <w:r w:rsidR="007A655B" w:rsidRPr="007A655B">
          <w:rPr>
            <w:noProof/>
            <w:webHidden/>
            <w:w w:val="100"/>
          </w:rPr>
        </w:r>
        <w:r w:rsidR="007A655B" w:rsidRPr="007A655B">
          <w:rPr>
            <w:noProof/>
            <w:webHidden/>
            <w:w w:val="100"/>
          </w:rPr>
          <w:fldChar w:fldCharType="separate"/>
        </w:r>
        <w:r w:rsidR="00B715FB">
          <w:rPr>
            <w:noProof/>
            <w:webHidden/>
            <w:w w:val="100"/>
          </w:rPr>
          <w:t>4</w:t>
        </w:r>
        <w:r w:rsidR="007A655B" w:rsidRPr="007A655B">
          <w:rPr>
            <w:noProof/>
            <w:webHidden/>
            <w:w w:val="100"/>
          </w:rPr>
          <w:fldChar w:fldCharType="end"/>
        </w:r>
      </w:hyperlink>
    </w:p>
    <w:p w14:paraId="659B2D2D" w14:textId="49283E5E" w:rsidR="007A655B" w:rsidRPr="007A655B" w:rsidRDefault="00000000">
      <w:pPr>
        <w:pStyle w:val="TOC1"/>
        <w:rPr>
          <w:rFonts w:asciiTheme="minorHAnsi" w:eastAsiaTheme="minorEastAsia" w:hAnsiTheme="minorHAnsi" w:cstheme="minorBidi"/>
          <w:noProof/>
          <w:w w:val="100"/>
          <w:sz w:val="21"/>
          <w:szCs w:val="22"/>
          <w14:ligatures w14:val="standardContextual"/>
        </w:rPr>
      </w:pPr>
      <w:hyperlink w:anchor="_Toc167524588" w:history="1">
        <w:r w:rsidR="007A655B" w:rsidRPr="007A655B">
          <w:rPr>
            <w:rStyle w:val="afd"/>
            <w:rFonts w:ascii="黑体" w:eastAsia="黑体" w:hAnsi="黑体"/>
            <w:noProof/>
            <w:w w:val="100"/>
          </w:rPr>
          <w:t>伊朗人民党向抵制议会选举的人民致敬</w:t>
        </w:r>
        <w:r w:rsidR="007A655B" w:rsidRPr="007A655B">
          <w:rPr>
            <w:noProof/>
            <w:webHidden/>
            <w:w w:val="100"/>
          </w:rPr>
          <w:tab/>
        </w:r>
        <w:r w:rsidR="007A655B" w:rsidRPr="007A655B">
          <w:rPr>
            <w:noProof/>
            <w:webHidden/>
            <w:w w:val="100"/>
          </w:rPr>
          <w:fldChar w:fldCharType="begin"/>
        </w:r>
        <w:r w:rsidR="007A655B" w:rsidRPr="007A655B">
          <w:rPr>
            <w:noProof/>
            <w:webHidden/>
            <w:w w:val="100"/>
          </w:rPr>
          <w:instrText xml:space="preserve"> PAGEREF _Toc167524588 \h </w:instrText>
        </w:r>
        <w:r w:rsidR="007A655B" w:rsidRPr="007A655B">
          <w:rPr>
            <w:noProof/>
            <w:webHidden/>
            <w:w w:val="100"/>
          </w:rPr>
        </w:r>
        <w:r w:rsidR="007A655B" w:rsidRPr="007A655B">
          <w:rPr>
            <w:noProof/>
            <w:webHidden/>
            <w:w w:val="100"/>
          </w:rPr>
          <w:fldChar w:fldCharType="separate"/>
        </w:r>
        <w:r w:rsidR="00B715FB">
          <w:rPr>
            <w:noProof/>
            <w:webHidden/>
            <w:w w:val="100"/>
          </w:rPr>
          <w:t>15</w:t>
        </w:r>
        <w:r w:rsidR="007A655B" w:rsidRPr="007A655B">
          <w:rPr>
            <w:noProof/>
            <w:webHidden/>
            <w:w w:val="100"/>
          </w:rPr>
          <w:fldChar w:fldCharType="end"/>
        </w:r>
      </w:hyperlink>
    </w:p>
    <w:p w14:paraId="0D20FD67" w14:textId="5A19907F" w:rsidR="007A655B" w:rsidRPr="007A655B" w:rsidRDefault="00000000">
      <w:pPr>
        <w:pStyle w:val="TOC1"/>
        <w:rPr>
          <w:rFonts w:asciiTheme="minorHAnsi" w:eastAsiaTheme="minorEastAsia" w:hAnsiTheme="minorHAnsi" w:cstheme="minorBidi"/>
          <w:noProof/>
          <w:w w:val="100"/>
          <w:sz w:val="21"/>
          <w:szCs w:val="22"/>
          <w14:ligatures w14:val="standardContextual"/>
        </w:rPr>
      </w:pPr>
      <w:hyperlink w:anchor="_Toc167524589" w:history="1">
        <w:r w:rsidR="007A655B" w:rsidRPr="007A655B">
          <w:rPr>
            <w:rStyle w:val="afd"/>
            <w:rFonts w:ascii="黑体" w:eastAsia="黑体" w:hAnsi="黑体"/>
            <w:noProof/>
            <w:w w:val="100"/>
          </w:rPr>
          <w:t>印共（毛）声援正在进行的农民运动</w:t>
        </w:r>
        <w:r w:rsidR="007A655B" w:rsidRPr="007A655B">
          <w:rPr>
            <w:noProof/>
            <w:webHidden/>
            <w:w w:val="100"/>
          </w:rPr>
          <w:tab/>
        </w:r>
        <w:r w:rsidR="007A655B" w:rsidRPr="007A655B">
          <w:rPr>
            <w:noProof/>
            <w:webHidden/>
            <w:w w:val="100"/>
          </w:rPr>
          <w:fldChar w:fldCharType="begin"/>
        </w:r>
        <w:r w:rsidR="007A655B" w:rsidRPr="007A655B">
          <w:rPr>
            <w:noProof/>
            <w:webHidden/>
            <w:w w:val="100"/>
          </w:rPr>
          <w:instrText xml:space="preserve"> PAGEREF _Toc167524589 \h </w:instrText>
        </w:r>
        <w:r w:rsidR="007A655B" w:rsidRPr="007A655B">
          <w:rPr>
            <w:noProof/>
            <w:webHidden/>
            <w:w w:val="100"/>
          </w:rPr>
        </w:r>
        <w:r w:rsidR="007A655B" w:rsidRPr="007A655B">
          <w:rPr>
            <w:noProof/>
            <w:webHidden/>
            <w:w w:val="100"/>
          </w:rPr>
          <w:fldChar w:fldCharType="separate"/>
        </w:r>
        <w:r w:rsidR="00B715FB">
          <w:rPr>
            <w:noProof/>
            <w:webHidden/>
            <w:w w:val="100"/>
          </w:rPr>
          <w:t>19</w:t>
        </w:r>
        <w:r w:rsidR="007A655B" w:rsidRPr="007A655B">
          <w:rPr>
            <w:noProof/>
            <w:webHidden/>
            <w:w w:val="100"/>
          </w:rPr>
          <w:fldChar w:fldCharType="end"/>
        </w:r>
      </w:hyperlink>
    </w:p>
    <w:p w14:paraId="12D1F7E6" w14:textId="45A61B07" w:rsidR="0030333A" w:rsidRDefault="00000000">
      <w:pPr>
        <w:pStyle w:val="TOC1"/>
        <w:rPr>
          <w:w w:val="100"/>
        </w:rPr>
      </w:pPr>
      <w:r>
        <w:rPr>
          <w:w w:val="100"/>
        </w:rPr>
        <w:fldChar w:fldCharType="end"/>
      </w:r>
    </w:p>
    <w:p w14:paraId="1C1FFCA9" w14:textId="77777777" w:rsidR="0030333A" w:rsidRDefault="0030333A">
      <w:pPr>
        <w:widowControl/>
        <w:ind w:left="1120" w:hangingChars="350" w:hanging="1120"/>
        <w:jc w:val="left"/>
        <w:rPr>
          <w:rFonts w:ascii="黑体" w:eastAsia="黑体" w:hAnsi="黑体"/>
          <w:sz w:val="32"/>
          <w:szCs w:val="32"/>
        </w:rPr>
      </w:pPr>
    </w:p>
    <w:p w14:paraId="79543E09" w14:textId="77777777" w:rsidR="001F0B7A" w:rsidRDefault="001F0B7A">
      <w:pPr>
        <w:widowControl/>
        <w:ind w:left="1120" w:hangingChars="350" w:hanging="1120"/>
        <w:jc w:val="left"/>
        <w:rPr>
          <w:rFonts w:ascii="黑体" w:eastAsia="黑体" w:hAnsi="黑体"/>
          <w:sz w:val="32"/>
          <w:szCs w:val="32"/>
        </w:rPr>
      </w:pPr>
    </w:p>
    <w:p w14:paraId="122CAB86" w14:textId="77777777" w:rsidR="0030333A" w:rsidRDefault="0030333A">
      <w:pPr>
        <w:widowControl/>
        <w:ind w:left="1120" w:hangingChars="350" w:hanging="1120"/>
        <w:jc w:val="left"/>
        <w:rPr>
          <w:rFonts w:ascii="黑体" w:eastAsia="黑体" w:hAnsi="黑体"/>
          <w:sz w:val="32"/>
          <w:szCs w:val="32"/>
        </w:rPr>
      </w:pPr>
    </w:p>
    <w:p w14:paraId="56BCFC22" w14:textId="77777777" w:rsidR="0030333A" w:rsidRDefault="0030333A">
      <w:pPr>
        <w:widowControl/>
        <w:ind w:left="1120" w:hangingChars="350" w:hanging="1120"/>
        <w:jc w:val="left"/>
        <w:rPr>
          <w:rFonts w:ascii="黑体" w:eastAsia="黑体" w:hAnsi="黑体"/>
          <w:sz w:val="32"/>
          <w:szCs w:val="32"/>
        </w:rPr>
      </w:pPr>
    </w:p>
    <w:p w14:paraId="2B2196FE" w14:textId="77777777" w:rsidR="0030333A" w:rsidRDefault="0030333A">
      <w:pPr>
        <w:widowControl/>
        <w:ind w:left="1120" w:hangingChars="350" w:hanging="1120"/>
        <w:jc w:val="left"/>
        <w:rPr>
          <w:rFonts w:ascii="黑体" w:eastAsia="黑体" w:hAnsi="黑体"/>
          <w:sz w:val="32"/>
          <w:szCs w:val="32"/>
        </w:rPr>
      </w:pPr>
    </w:p>
    <w:p w14:paraId="42AA64AA" w14:textId="77777777" w:rsidR="0030333A" w:rsidRDefault="0030333A">
      <w:pPr>
        <w:widowControl/>
        <w:ind w:left="1120" w:hangingChars="350" w:hanging="1120"/>
        <w:jc w:val="left"/>
        <w:rPr>
          <w:rFonts w:ascii="黑体" w:eastAsia="黑体" w:hAnsi="黑体"/>
          <w:sz w:val="32"/>
          <w:szCs w:val="32"/>
        </w:rPr>
      </w:pPr>
    </w:p>
    <w:p w14:paraId="1DE4B829" w14:textId="77777777" w:rsidR="0030333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w:t>
      </w:r>
      <w:r>
        <w:rPr>
          <w:rFonts w:ascii="黑体" w:eastAsia="黑体" w:hAnsi="黑体" w:cs="Times New Roman"/>
          <w:sz w:val="30"/>
          <w:szCs w:val="30"/>
        </w:rPr>
        <w:t>24</w:t>
      </w:r>
      <w:r>
        <w:rPr>
          <w:rFonts w:ascii="黑体" w:eastAsia="黑体" w:hAnsi="黑体" w:cs="Times New Roman" w:hint="eastAsia"/>
          <w:sz w:val="30"/>
          <w:szCs w:val="30"/>
        </w:rPr>
        <w:t>年第9期</w:t>
      </w:r>
    </w:p>
    <w:p w14:paraId="6A79ADAC" w14:textId="77777777" w:rsidR="0030333A" w:rsidRDefault="00000000">
      <w:pPr>
        <w:ind w:firstLineChars="0" w:firstLine="0"/>
        <w:jc w:val="center"/>
        <w:rPr>
          <w:rFonts w:ascii="黑体" w:eastAsia="黑体" w:hAnsi="黑体" w:cs="Times New Roman"/>
          <w:sz w:val="30"/>
          <w:szCs w:val="30"/>
        </w:rPr>
      </w:pPr>
      <w:r>
        <w:rPr>
          <w:rFonts w:ascii="黑体" w:eastAsia="黑体" w:hAnsi="黑体" w:cs="Times New Roman" w:hint="eastAsia"/>
          <w:sz w:val="30"/>
          <w:szCs w:val="30"/>
        </w:rPr>
        <w:t>202</w:t>
      </w:r>
      <w:r>
        <w:rPr>
          <w:rFonts w:ascii="黑体" w:eastAsia="黑体" w:hAnsi="黑体" w:cs="Times New Roman"/>
          <w:sz w:val="30"/>
          <w:szCs w:val="30"/>
        </w:rPr>
        <w:t>4</w:t>
      </w:r>
      <w:r>
        <w:rPr>
          <w:rFonts w:ascii="黑体" w:eastAsia="黑体" w:hAnsi="黑体" w:cs="Times New Roman" w:hint="eastAsia"/>
          <w:sz w:val="30"/>
          <w:szCs w:val="30"/>
        </w:rPr>
        <w:t>年5月25日</w:t>
      </w:r>
      <w:r>
        <w:rPr>
          <w:rFonts w:ascii="黑体" w:eastAsia="黑体" w:hAnsi="黑体" w:cs="Times New Roman"/>
          <w:sz w:val="30"/>
          <w:szCs w:val="30"/>
        </w:rPr>
        <w:br w:type="page"/>
      </w:r>
    </w:p>
    <w:p w14:paraId="590882D7" w14:textId="77777777" w:rsidR="0030333A" w:rsidRDefault="00000000">
      <w:pPr>
        <w:spacing w:afterLines="50" w:after="156" w:line="360" w:lineRule="auto"/>
        <w:ind w:firstLineChars="0" w:firstLine="0"/>
        <w:jc w:val="center"/>
        <w:rPr>
          <w:rFonts w:ascii="黑体" w:eastAsia="黑体" w:hAnsi="黑体" w:cs="Times New Roman"/>
          <w:bCs/>
          <w:sz w:val="36"/>
          <w:szCs w:val="36"/>
        </w:rPr>
      </w:pPr>
      <w:bookmarkStart w:id="0" w:name="_Hlk95678794"/>
      <w:r>
        <w:rPr>
          <w:rFonts w:ascii="黑体" w:eastAsia="黑体" w:hAnsi="黑体" w:cs="Times New Roman" w:hint="eastAsia"/>
          <w:bCs/>
          <w:sz w:val="36"/>
          <w:szCs w:val="36"/>
        </w:rPr>
        <w:lastRenderedPageBreak/>
        <w:t>重要声明</w:t>
      </w:r>
    </w:p>
    <w:p w14:paraId="36904667" w14:textId="77777777" w:rsidR="0030333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本刊指定发布渠道为邮件推送和网站</w:t>
      </w:r>
      <w:r>
        <w:rPr>
          <w:rFonts w:ascii="MS Reference Sans Serif" w:eastAsia="仿宋" w:hAnsi="MS Reference Sans Serif" w:cs="Times New Roman" w:hint="eastAsia"/>
          <w:color w:val="FFFFFF"/>
          <w:sz w:val="32"/>
          <w:szCs w:val="32"/>
          <w:highlight w:val="red"/>
        </w:rPr>
        <w:t>IRN.red</w:t>
      </w:r>
      <w:r>
        <w:rPr>
          <w:rFonts w:ascii="仿宋" w:eastAsia="仿宋" w:hAnsi="仿宋" w:cs="Times New Roman" w:hint="eastAsia"/>
          <w:sz w:val="32"/>
          <w:szCs w:val="32"/>
        </w:rPr>
        <w:t>，目前未参与任何社交平台账号的运营与活动。</w:t>
      </w:r>
    </w:p>
    <w:p w14:paraId="57E99E28" w14:textId="77777777" w:rsidR="0030333A" w:rsidRDefault="00000000">
      <w:pPr>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允许在互联网上转载、复制、传播本刊内容，无需授权。转载时建议注明出处：</w:t>
      </w:r>
      <w:r>
        <w:rPr>
          <w:rFonts w:ascii="MS Reference Sans Serif" w:eastAsia="仿宋" w:hAnsi="MS Reference Sans Serif" w:cs="Times New Roman"/>
          <w:color w:val="FFFFFF"/>
          <w:sz w:val="32"/>
          <w:szCs w:val="32"/>
          <w:highlight w:val="red"/>
        </w:rPr>
        <w:t>IRN.red</w:t>
      </w:r>
    </w:p>
    <w:p w14:paraId="38653BF9" w14:textId="77777777" w:rsidR="0030333A" w:rsidRDefault="0030333A">
      <w:pPr>
        <w:spacing w:line="360" w:lineRule="auto"/>
        <w:ind w:firstLine="643"/>
        <w:rPr>
          <w:rFonts w:ascii="Times New Roman" w:eastAsia="仿宋" w:hAnsi="Times New Roman" w:cs="Times New Roman"/>
          <w:b/>
          <w:sz w:val="32"/>
          <w:szCs w:val="32"/>
        </w:rPr>
      </w:pPr>
    </w:p>
    <w:p w14:paraId="1EBA9853" w14:textId="77777777" w:rsidR="0030333A" w:rsidRDefault="00000000">
      <w:pPr>
        <w:spacing w:afterLines="50" w:after="156" w:line="360" w:lineRule="auto"/>
        <w:ind w:firstLineChars="0" w:firstLine="0"/>
        <w:jc w:val="center"/>
        <w:rPr>
          <w:rFonts w:ascii="黑体" w:eastAsia="黑体" w:hAnsi="黑体" w:cs="Times New Roman"/>
          <w:bCs/>
          <w:sz w:val="36"/>
          <w:szCs w:val="36"/>
        </w:rPr>
      </w:pPr>
      <w:r>
        <w:rPr>
          <w:rFonts w:ascii="黑体" w:eastAsia="黑体" w:hAnsi="黑体" w:cs="Times New Roman"/>
          <w:bCs/>
          <w:sz w:val="36"/>
          <w:szCs w:val="36"/>
        </w:rPr>
        <w:t>订阅方式</w:t>
      </w:r>
    </w:p>
    <w:p w14:paraId="77726BF6" w14:textId="77777777" w:rsidR="0030333A" w:rsidRDefault="00000000">
      <w:pPr>
        <w:spacing w:line="360" w:lineRule="auto"/>
        <w:ind w:firstLine="640"/>
        <w:rPr>
          <w:rFonts w:ascii="仿宋" w:eastAsia="仿宋" w:hAnsi="仿宋" w:cs="Times New Roman"/>
          <w:bCs/>
          <w:sz w:val="32"/>
          <w:szCs w:val="32"/>
        </w:rPr>
      </w:pPr>
      <w:r>
        <w:rPr>
          <w:rFonts w:ascii="仿宋" w:eastAsia="仿宋" w:hAnsi="仿宋" w:cs="Times New Roman" w:hint="eastAsia"/>
          <w:bCs/>
          <w:sz w:val="32"/>
          <w:szCs w:val="32"/>
        </w:rPr>
        <w:t>以下三种方式，选择一种即可：</w:t>
      </w:r>
    </w:p>
    <w:p w14:paraId="7BA4A4F7" w14:textId="77777777" w:rsidR="0030333A" w:rsidRDefault="00000000">
      <w:pPr>
        <w:spacing w:line="360" w:lineRule="auto"/>
        <w:ind w:firstLine="640"/>
        <w:rPr>
          <w:rFonts w:ascii="仿宋" w:eastAsia="仿宋" w:hAnsi="仿宋" w:cs="Times New Roman"/>
          <w:bCs/>
          <w:sz w:val="32"/>
          <w:szCs w:val="32"/>
        </w:rPr>
      </w:pPr>
      <w:r>
        <w:rPr>
          <w:rFonts w:ascii="仿宋" w:eastAsia="仿宋" w:hAnsi="仿宋" w:cs="Times New Roman"/>
          <w:bCs/>
          <w:sz w:val="32"/>
          <w:szCs w:val="32"/>
        </w:rPr>
        <w:t>1.扫描二维码填写您的邮箱</w:t>
      </w:r>
    </w:p>
    <w:p w14:paraId="76598772" w14:textId="77777777" w:rsidR="0030333A" w:rsidRDefault="00000000">
      <w:pPr>
        <w:spacing w:line="360" w:lineRule="auto"/>
        <w:ind w:leftChars="200" w:left="560" w:firstLine="640"/>
        <w:rPr>
          <w:rFonts w:ascii="仿宋" w:eastAsia="仿宋" w:hAnsi="仿宋" w:cs="Times New Roman"/>
          <w:sz w:val="32"/>
          <w:szCs w:val="32"/>
        </w:rPr>
      </w:pPr>
      <w:r>
        <w:rPr>
          <w:rFonts w:ascii="仿宋" w:eastAsia="仿宋" w:hAnsi="仿宋" w:cs="Times New Roman"/>
          <w:noProof/>
          <w:sz w:val="32"/>
          <w:szCs w:val="32"/>
        </w:rPr>
        <w:drawing>
          <wp:inline distT="0" distB="0" distL="0" distR="0" wp14:anchorId="279F755A" wp14:editId="2B65B272">
            <wp:extent cx="1355725" cy="1355725"/>
            <wp:effectExtent l="0" t="0" r="0" b="0"/>
            <wp:docPr id="1027" name="图片 15"/>
            <wp:cNvGraphicFramePr/>
            <a:graphic xmlns:a="http://schemas.openxmlformats.org/drawingml/2006/main">
              <a:graphicData uri="http://schemas.openxmlformats.org/drawingml/2006/picture">
                <pic:pic xmlns:pic="http://schemas.openxmlformats.org/drawingml/2006/picture">
                  <pic:nvPicPr>
                    <pic:cNvPr id="1027" name="图片 15"/>
                    <pic:cNvPicPr/>
                  </pic:nvPicPr>
                  <pic:blipFill>
                    <a:blip r:embed="rId8" cstate="print"/>
                    <a:srcRect/>
                    <a:stretch>
                      <a:fillRect/>
                    </a:stretch>
                  </pic:blipFill>
                  <pic:spPr>
                    <a:xfrm>
                      <a:off x="0" y="0"/>
                      <a:ext cx="1355834" cy="1355834"/>
                    </a:xfrm>
                    <a:prstGeom prst="rect">
                      <a:avLst/>
                    </a:prstGeom>
                    <a:ln>
                      <a:noFill/>
                    </a:ln>
                  </pic:spPr>
                </pic:pic>
              </a:graphicData>
            </a:graphic>
          </wp:inline>
        </w:drawing>
      </w:r>
    </w:p>
    <w:p w14:paraId="63AE1A05" w14:textId="77777777" w:rsidR="0030333A" w:rsidRDefault="00000000">
      <w:pPr>
        <w:spacing w:line="360" w:lineRule="auto"/>
        <w:ind w:firstLine="640"/>
        <w:rPr>
          <w:rStyle w:val="afd"/>
          <w:rFonts w:ascii="仿宋" w:eastAsia="仿宋" w:hAnsi="仿宋" w:cs="Times New Roman"/>
          <w:color w:val="auto"/>
          <w:sz w:val="32"/>
          <w:szCs w:val="32"/>
          <w:u w:val="none"/>
        </w:rPr>
      </w:pPr>
      <w:r>
        <w:rPr>
          <w:rStyle w:val="afd"/>
          <w:rFonts w:ascii="仿宋" w:eastAsia="仿宋" w:hAnsi="仿宋" w:cs="Times New Roman"/>
          <w:color w:val="auto"/>
          <w:sz w:val="32"/>
          <w:szCs w:val="32"/>
          <w:u w:val="none"/>
        </w:rPr>
        <w:t>（如无法提交，请在空白处点击再试）</w:t>
      </w:r>
    </w:p>
    <w:p w14:paraId="29292A87" w14:textId="77777777" w:rsidR="0030333A" w:rsidRDefault="00000000">
      <w:pPr>
        <w:spacing w:line="360" w:lineRule="auto"/>
        <w:ind w:firstLine="640"/>
        <w:rPr>
          <w:rFonts w:ascii="仿宋" w:eastAsia="仿宋" w:hAnsi="仿宋" w:cs="Times New Roman"/>
          <w:sz w:val="32"/>
          <w:szCs w:val="32"/>
        </w:rPr>
      </w:pPr>
      <w:r>
        <w:rPr>
          <w:rFonts w:ascii="仿宋" w:eastAsia="仿宋" w:hAnsi="仿宋" w:cs="Times New Roman"/>
          <w:sz w:val="32"/>
          <w:szCs w:val="32"/>
        </w:rPr>
        <w:t>2.进入以下链接填写您的邮箱</w:t>
      </w:r>
    </w:p>
    <w:p w14:paraId="2B51486C" w14:textId="77777777" w:rsidR="0030333A" w:rsidRDefault="00000000">
      <w:pPr>
        <w:spacing w:line="360" w:lineRule="auto"/>
        <w:ind w:firstLine="560"/>
        <w:rPr>
          <w:rFonts w:ascii="仿宋" w:eastAsia="仿宋" w:hAnsi="仿宋" w:cs="Times New Roman"/>
          <w:bCs/>
          <w:sz w:val="32"/>
          <w:szCs w:val="32"/>
          <w:u w:val="single"/>
        </w:rPr>
      </w:pPr>
      <w:hyperlink r:id="rId9" w:history="1">
        <w:r>
          <w:rPr>
            <w:rFonts w:ascii="仿宋" w:eastAsia="仿宋" w:hAnsi="仿宋"/>
            <w:bCs/>
            <w:sz w:val="32"/>
            <w:szCs w:val="32"/>
            <w:u w:val="single"/>
          </w:rPr>
          <w:t>https://cloud.seatable.cn/dtable/forms/ff203a21-e739-4321-bb63-3d9665873695/</w:t>
        </w:r>
      </w:hyperlink>
    </w:p>
    <w:p w14:paraId="685426BB" w14:textId="77777777" w:rsidR="0030333A" w:rsidRDefault="00000000">
      <w:pPr>
        <w:spacing w:line="360" w:lineRule="auto"/>
        <w:ind w:firstLine="640"/>
        <w:rPr>
          <w:rStyle w:val="afd"/>
          <w:rFonts w:ascii="Times New Roman" w:eastAsia="仿宋" w:hAnsi="Times New Roman" w:cs="Times New Roman"/>
          <w:color w:val="auto"/>
          <w:sz w:val="32"/>
          <w:szCs w:val="32"/>
          <w:u w:val="none"/>
        </w:rPr>
      </w:pPr>
      <w:r>
        <w:rPr>
          <w:rStyle w:val="afd"/>
          <w:rFonts w:ascii="仿宋" w:eastAsia="仿宋" w:hAnsi="仿宋" w:cs="Times New Roman"/>
          <w:color w:val="auto"/>
          <w:sz w:val="32"/>
          <w:szCs w:val="32"/>
          <w:u w:val="none"/>
        </w:rPr>
        <w:t>3.用您的邮箱发送“订阅”至irn3000@outlook.com</w:t>
      </w:r>
      <w:r>
        <w:rPr>
          <w:rStyle w:val="afd"/>
          <w:rFonts w:ascii="Times New Roman" w:eastAsia="仿宋" w:hAnsi="Times New Roman" w:cs="Times New Roman"/>
          <w:color w:val="auto"/>
          <w:sz w:val="32"/>
          <w:szCs w:val="32"/>
          <w:u w:val="none"/>
        </w:rPr>
        <w:br w:type="page"/>
      </w:r>
    </w:p>
    <w:p w14:paraId="7F5EC96B" w14:textId="77777777" w:rsidR="0030333A" w:rsidRDefault="0030333A">
      <w:pPr>
        <w:spacing w:line="360" w:lineRule="auto"/>
        <w:ind w:firstLineChars="300" w:firstLine="960"/>
        <w:rPr>
          <w:rStyle w:val="afd"/>
          <w:rFonts w:ascii="Times New Roman" w:eastAsia="仿宋" w:hAnsi="Times New Roman" w:cs="Times New Roman"/>
          <w:color w:val="auto"/>
          <w:sz w:val="32"/>
          <w:szCs w:val="32"/>
          <w:u w:val="none"/>
        </w:rPr>
        <w:sectPr w:rsidR="0030333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0318" w:h="14570"/>
          <w:pgMar w:top="1440" w:right="1080" w:bottom="1440" w:left="1080" w:header="851" w:footer="992" w:gutter="0"/>
          <w:pgNumType w:fmt="numberInDash" w:start="1"/>
          <w:cols w:space="425"/>
          <w:docGrid w:type="lines" w:linePitch="312"/>
        </w:sectPr>
      </w:pPr>
    </w:p>
    <w:p w14:paraId="726206E1" w14:textId="77777777" w:rsidR="0030333A" w:rsidRDefault="00000000">
      <w:pPr>
        <w:pStyle w:val="1"/>
      </w:pPr>
      <w:bookmarkStart w:id="1" w:name="_Toc167524586"/>
      <w:bookmarkStart w:id="2" w:name="_Hlk118638770"/>
      <w:bookmarkStart w:id="3" w:name="_Hlk110724951"/>
      <w:bookmarkStart w:id="4" w:name="_Hlk120642218"/>
      <w:bookmarkStart w:id="5" w:name="_Hlk114943609"/>
      <w:bookmarkStart w:id="6" w:name="_Hlk105347307"/>
      <w:bookmarkEnd w:id="0"/>
      <w:r>
        <w:rPr>
          <w:rFonts w:ascii="黑体" w:eastAsia="黑体" w:hAnsi="黑体" w:hint="eastAsia"/>
          <w:szCs w:val="36"/>
        </w:rPr>
        <w:lastRenderedPageBreak/>
        <w:t>谷歌工程师因支持巴勒斯坦而遭解雇</w:t>
      </w:r>
      <w:bookmarkEnd w:id="1"/>
    </w:p>
    <w:p w14:paraId="35AECD11" w14:textId="77777777" w:rsidR="0030333A" w:rsidRDefault="00000000">
      <w:pPr>
        <w:ind w:firstLineChars="0" w:firstLine="0"/>
        <w:jc w:val="center"/>
      </w:pPr>
      <w:r>
        <w:rPr>
          <w:rFonts w:ascii="Times New Roman" w:hAnsi="Times New Roman" w:cs="Times New Roman"/>
          <w:noProof/>
        </w:rPr>
        <w:drawing>
          <wp:inline distT="0" distB="0" distL="0" distR="0" wp14:anchorId="777B9474" wp14:editId="63926F76">
            <wp:extent cx="5147945" cy="2896870"/>
            <wp:effectExtent l="0" t="0" r="14605" b="17780"/>
            <wp:docPr id="2" name="图片 2" descr="https://peoplesdispatch.org/wp-content/uploads/2024/03/no-tech-for-apart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peoplesdispatch.org/wp-content/uploads/2024/03/no-tech-for-aparthei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47945" cy="2896870"/>
                    </a:xfrm>
                    <a:prstGeom prst="rect">
                      <a:avLst/>
                    </a:prstGeom>
                    <a:noFill/>
                    <a:ln>
                      <a:noFill/>
                    </a:ln>
                  </pic:spPr>
                </pic:pic>
              </a:graphicData>
            </a:graphic>
          </wp:inline>
        </w:drawing>
      </w:r>
    </w:p>
    <w:p w14:paraId="0DFDCB3D" w14:textId="77777777" w:rsidR="0030333A"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印度“人民快讯”网站</w:t>
      </w:r>
    </w:p>
    <w:p w14:paraId="5C6A9044" w14:textId="77777777" w:rsidR="0030333A"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日期：</w:t>
      </w:r>
      <w:r>
        <w:rPr>
          <w:rFonts w:ascii="Times New Roman" w:eastAsia="仿宋" w:hAnsi="Times New Roman" w:cs="Times New Roman"/>
          <w:szCs w:val="28"/>
        </w:rPr>
        <w:t>2024</w:t>
      </w:r>
      <w:r>
        <w:rPr>
          <w:rFonts w:ascii="Times New Roman" w:eastAsia="仿宋" w:hAnsi="Times New Roman" w:cs="Times New Roman"/>
          <w:szCs w:val="28"/>
        </w:rPr>
        <w:t>年</w:t>
      </w:r>
      <w:r>
        <w:rPr>
          <w:rFonts w:ascii="Times New Roman" w:eastAsia="仿宋" w:hAnsi="Times New Roman" w:cs="Times New Roman" w:hint="eastAsia"/>
          <w:szCs w:val="28"/>
        </w:rPr>
        <w:t>3</w:t>
      </w:r>
      <w:r>
        <w:rPr>
          <w:rFonts w:ascii="Times New Roman" w:eastAsia="仿宋" w:hAnsi="Times New Roman" w:cs="Times New Roman"/>
          <w:szCs w:val="28"/>
        </w:rPr>
        <w:t>月</w:t>
      </w:r>
      <w:r>
        <w:rPr>
          <w:rFonts w:ascii="Times New Roman" w:eastAsia="仿宋" w:hAnsi="Times New Roman" w:cs="Times New Roman" w:hint="eastAsia"/>
          <w:szCs w:val="28"/>
        </w:rPr>
        <w:t>12</w:t>
      </w:r>
      <w:r>
        <w:rPr>
          <w:rFonts w:ascii="Times New Roman" w:eastAsia="仿宋" w:hAnsi="Times New Roman" w:cs="Times New Roman" w:hint="eastAsia"/>
          <w:szCs w:val="28"/>
        </w:rPr>
        <w:t>日</w:t>
      </w:r>
    </w:p>
    <w:p w14:paraId="7F2D67E0" w14:textId="77777777" w:rsidR="0030333A"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题图：“不为种族隔离提供技术”运动在旧金山谷歌总部门外游行。</w:t>
      </w:r>
    </w:p>
    <w:p w14:paraId="0BF70127" w14:textId="77777777" w:rsidR="0030333A" w:rsidRDefault="00000000">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hyperlink r:id="rId17" w:history="1">
        <w:r>
          <w:rPr>
            <w:rStyle w:val="afd"/>
            <w:rFonts w:ascii="Times New Roman" w:eastAsia="仿宋" w:hAnsi="Times New Roman" w:cs="Times New Roman" w:hint="eastAsia"/>
            <w:szCs w:val="28"/>
          </w:rPr>
          <w:t>https://peoplesdispatch.org/2024/03/12/google-fires-engineer-for-standing-up-for-palestine/</w:t>
        </w:r>
      </w:hyperlink>
    </w:p>
    <w:p w14:paraId="1DF3E38D"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谷歌公司开除了一位工程师，他在3月4日扰乱了于纽约市举行的以色列人工智能与监控会议。这位工程师在谷歌以色列公司总经理巴拉克·雷杰夫（Barak Regev）的演讲过程中高声宣布：“我是谷歌云的一名软件工程师，我拒绝开发推动种族灭绝的技术！”</w:t>
      </w:r>
    </w:p>
    <w:p w14:paraId="306D5C69" w14:textId="2C1AF35C" w:rsidR="0030333A" w:rsidRDefault="00000000">
      <w:pPr>
        <w:spacing w:before="60" w:after="60" w:line="480" w:lineRule="exact"/>
        <w:ind w:firstLine="640"/>
        <w:rPr>
          <w:rFonts w:ascii="宋体" w:hAnsi="宋体"/>
          <w:sz w:val="32"/>
          <w:szCs w:val="32"/>
        </w:rPr>
      </w:pPr>
      <w:r>
        <w:rPr>
          <w:rFonts w:ascii="宋体" w:hAnsi="宋体" w:hint="eastAsia"/>
          <w:sz w:val="32"/>
          <w:szCs w:val="32"/>
        </w:rPr>
        <w:t>该工程师提到的谷歌“光环项目”（</w:t>
      </w:r>
      <w:hyperlink r:id="rId18" w:history="1">
        <w:r>
          <w:rPr>
            <w:rFonts w:ascii="宋体" w:hAnsi="宋体" w:hint="eastAsia"/>
            <w:sz w:val="32"/>
            <w:szCs w:val="32"/>
          </w:rPr>
          <w:t>Project Nimbus</w:t>
        </w:r>
      </w:hyperlink>
      <w:r>
        <w:rPr>
          <w:rFonts w:ascii="宋体" w:hAnsi="宋体" w:hint="eastAsia"/>
          <w:sz w:val="32"/>
          <w:szCs w:val="32"/>
        </w:rPr>
        <w:t>）</w:t>
      </w:r>
      <w:r>
        <w:rPr>
          <w:rFonts w:ascii="宋体" w:hAnsi="宋体" w:hint="eastAsia"/>
          <w:sz w:val="32"/>
          <w:szCs w:val="32"/>
        </w:rPr>
        <w:lastRenderedPageBreak/>
        <w:t>合同，是谷歌和亚马逊同以色列政府及军方签订的价值120万美元的合同。这位工人是“不为种族隔离提供技术”（No Tech for Apartheid）运动的一分子，这是谷歌和亚马逊技术工人发起的一项运动，他们要求公司放弃“光环项目”。</w:t>
      </w:r>
    </w:p>
    <w:p w14:paraId="6E7EE6DB"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不为种族隔离提供技术”运动发表声明，谴责谷歌解雇该员工的行为。该组织表示：“谷歌对一位公开讨论自己工作条件的员工进行了明显的报复行动。作为一名云软件工程师，负责关键技术，使得‘光环项目’能够在以色列拥有主权的数据中心上运行，这位工人对他们的劳动所产生的直接且暴力的影响表达了深刻的个人关切。他表达了一种深切的信念：真正符合道德的工程必须考虑到对全球各个社群的影响。”</w:t>
      </w:r>
    </w:p>
    <w:p w14:paraId="156B610A"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根据该运动的说法，当谷歌公司人力资源部询问这位工人的感受时，他回答说：“因为拒绝成为种族灭绝的帮凶而被解雇，这让我们感到自豪。”</w:t>
      </w:r>
    </w:p>
    <w:p w14:paraId="53766B50"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这只是谷歌公司针对组织活动的工人进行报复的一系列案例中的最新一例，无论这种活动是要声援巴勒斯坦还是反对不道德的商业决策。谷歌的一位市场营销经理艾瑞尔·科伦（Ariel Koren）于2022年辞职，她表示，辞职是因为经历了“公司的报复、敌对的工作环境和非法行为”。在此之前的一年多中，她一直为反对“光环项目”而组织活动。</w:t>
      </w:r>
    </w:p>
    <w:p w14:paraId="00FFBC20"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lastRenderedPageBreak/>
        <w:t>2020年，谷歌的研究员蒂姆尼特·格布鲁（Timnit Gebru）声称，她因批评谷歌雇佣有色人种的方式和指出人工智能中存在的偏见而被解雇。2019年，两位谷歌工人声称，他们因组织前一年针对性骚扰的罢工活动而遭到了报复。</w:t>
      </w:r>
    </w:p>
    <w:p w14:paraId="6DE0C5DA"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10月7日以来，“不为种族隔离提供技术”已成为巴勒斯坦团结运动的一条关键战线，加强了后者对技术工人的组织，并与包括巴勒斯坦青年运动（Palestinian Youth Movement）和犹太人和平之声（Jewish Voice For Peace）在内的其他大型组织联合起来，参与了全国的大规模动员。</w:t>
      </w:r>
    </w:p>
    <w:p w14:paraId="63133F2B" w14:textId="3C2DE78B" w:rsidR="0030333A" w:rsidRDefault="00000000">
      <w:pPr>
        <w:spacing w:before="60" w:after="60" w:line="480" w:lineRule="exact"/>
        <w:ind w:firstLine="640"/>
        <w:rPr>
          <w:rFonts w:ascii="宋体" w:hAnsi="宋体"/>
          <w:sz w:val="32"/>
          <w:szCs w:val="32"/>
        </w:rPr>
      </w:pPr>
      <w:r>
        <w:rPr>
          <w:rFonts w:ascii="宋体" w:hAnsi="宋体" w:hint="eastAsia"/>
          <w:sz w:val="32"/>
          <w:szCs w:val="32"/>
        </w:rPr>
        <w:t>穆罕默德（Mohammad）是谷歌的一位工人，也是“不为种族隔离提供技术”运动的组织者。他告诉《人民快讯》（Peoples Dispatch），由于10月7日以来群众意识的提高，运动经历了一个浪潮，许多工人加入。对这些工人来说，“谷歌正在失去对奇迹和创新的感知，并将这种感知出卖给了军国主义和帝国主义”。</w:t>
      </w:r>
    </w:p>
    <w:p w14:paraId="746B4D7A"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“没有人想成为种族灭绝的帮凶。”穆罕默德说。</w:t>
      </w:r>
    </w:p>
    <w:p w14:paraId="538840FF" w14:textId="77777777" w:rsidR="0030333A" w:rsidRDefault="00000000">
      <w:pPr>
        <w:widowControl/>
        <w:spacing w:line="240" w:lineRule="auto"/>
        <w:ind w:firstLineChars="0" w:firstLine="0"/>
        <w:jc w:val="left"/>
        <w:rPr>
          <w:rFonts w:ascii="黑体" w:eastAsia="黑体" w:hAnsi="黑体"/>
          <w:szCs w:val="36"/>
        </w:rPr>
      </w:pPr>
      <w:r>
        <w:rPr>
          <w:rFonts w:ascii="宋体" w:hAnsi="宋体"/>
          <w:sz w:val="32"/>
          <w:szCs w:val="32"/>
        </w:rPr>
        <w:br w:type="page"/>
      </w:r>
    </w:p>
    <w:p w14:paraId="2D326442" w14:textId="77777777" w:rsidR="0030333A" w:rsidRDefault="00000000">
      <w:pPr>
        <w:pStyle w:val="1"/>
        <w:rPr>
          <w:rFonts w:ascii="黑体" w:eastAsia="黑体" w:hAnsi="黑体"/>
          <w:szCs w:val="36"/>
        </w:rPr>
      </w:pPr>
      <w:bookmarkStart w:id="7" w:name="_Toc167524587"/>
      <w:r>
        <w:rPr>
          <w:rFonts w:ascii="黑体" w:eastAsia="黑体" w:hAnsi="黑体" w:hint="eastAsia"/>
          <w:szCs w:val="36"/>
        </w:rPr>
        <w:lastRenderedPageBreak/>
        <w:t>希腊共产党评乌克兰战争两周年</w:t>
      </w:r>
      <w:bookmarkEnd w:id="7"/>
    </w:p>
    <w:p w14:paraId="013D07DB" w14:textId="77777777" w:rsidR="0030333A" w:rsidRDefault="00000000">
      <w:pPr>
        <w:ind w:firstLineChars="0" w:firstLine="0"/>
        <w:jc w:val="center"/>
      </w:pPr>
      <w:r>
        <w:rPr>
          <w:rFonts w:ascii="宋体" w:hAnsi="宋体"/>
          <w:noProof/>
          <w:sz w:val="24"/>
        </w:rPr>
        <w:drawing>
          <wp:inline distT="0" distB="0" distL="114300" distR="114300" wp14:anchorId="70E9650E" wp14:editId="44D6B4A2">
            <wp:extent cx="5147945" cy="2941955"/>
            <wp:effectExtent l="0" t="0" r="14605" b="1079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9"/>
                    <a:stretch>
                      <a:fillRect/>
                    </a:stretch>
                  </pic:blipFill>
                  <pic:spPr>
                    <a:xfrm>
                      <a:off x="0" y="0"/>
                      <a:ext cx="5147945" cy="2941955"/>
                    </a:xfrm>
                    <a:prstGeom prst="rect">
                      <a:avLst/>
                    </a:prstGeom>
                    <a:noFill/>
                    <a:ln w="9525">
                      <a:noFill/>
                    </a:ln>
                  </pic:spPr>
                </pic:pic>
              </a:graphicData>
            </a:graphic>
          </wp:inline>
        </w:drawing>
      </w:r>
    </w:p>
    <w:p w14:paraId="1D6301CD" w14:textId="77777777" w:rsidR="0030333A" w:rsidRDefault="00000000">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“欧洲共产主义行动”网站</w:t>
      </w:r>
    </w:p>
    <w:p w14:paraId="7A48D383" w14:textId="77777777" w:rsidR="0030333A"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2</w:t>
      </w:r>
      <w:r>
        <w:rPr>
          <w:rFonts w:ascii="Times New Roman" w:eastAsia="仿宋" w:hAnsi="Times New Roman" w:cs="Times New Roman"/>
          <w:szCs w:val="28"/>
        </w:rPr>
        <w:t>月</w:t>
      </w:r>
      <w:r>
        <w:rPr>
          <w:rFonts w:ascii="Times New Roman" w:eastAsia="仿宋" w:hAnsi="Times New Roman" w:cs="Times New Roman" w:hint="eastAsia"/>
          <w:szCs w:val="28"/>
        </w:rPr>
        <w:t>19</w:t>
      </w:r>
      <w:r>
        <w:rPr>
          <w:rFonts w:ascii="Times New Roman" w:eastAsia="仿宋" w:hAnsi="Times New Roman" w:cs="Times New Roman" w:hint="eastAsia"/>
          <w:szCs w:val="28"/>
        </w:rPr>
        <w:t>日</w:t>
      </w:r>
    </w:p>
    <w:p w14:paraId="56E73D37" w14:textId="77777777" w:rsidR="0030333A" w:rsidRDefault="00000000">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szCs w:val="28"/>
        </w:rPr>
        <w:t>链接</w:t>
      </w:r>
      <w:r>
        <w:rPr>
          <w:rFonts w:ascii="Times New Roman" w:eastAsia="仿宋" w:hAnsi="Times New Roman" w:cs="Times New Roman" w:hint="eastAsia"/>
          <w:szCs w:val="28"/>
        </w:rPr>
        <w:t>：</w:t>
      </w:r>
      <w:r>
        <w:rPr>
          <w:rStyle w:val="afd"/>
          <w:rFonts w:ascii="Times New Roman" w:eastAsia="仿宋" w:hAnsi="Times New Roman" w:cs="Times New Roman" w:hint="eastAsia"/>
          <w:szCs w:val="28"/>
        </w:rPr>
        <w:t>http://www.eurcomact.org/m-article/Contribution-of-the-Communist-Party-of-Greece/</w:t>
      </w:r>
    </w:p>
    <w:p w14:paraId="00244984"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“欧洲共产主义行动”（</w:t>
      </w:r>
      <w:r>
        <w:rPr>
          <w:rFonts w:ascii="宋体" w:hAnsi="宋体"/>
          <w:sz w:val="32"/>
          <w:szCs w:val="32"/>
        </w:rPr>
        <w:t>European Communist Action</w:t>
      </w:r>
      <w:r>
        <w:rPr>
          <w:rFonts w:ascii="宋体" w:hAnsi="宋体" w:hint="eastAsia"/>
          <w:sz w:val="32"/>
          <w:szCs w:val="32"/>
        </w:rPr>
        <w:t>）于2024年2月17日在土耳其伊斯坦布尔召开会议，主题是“乌克兰帝国主义战争两周年：共产主义者的经验和结论”（Two Years Since the Imperialist War in Ukraine: The Experience and Conclusions of the Communists）。本文是希腊共产党（Communist Party of Greece）提交给会议的文件。</w:t>
      </w:r>
    </w:p>
    <w:p w14:paraId="0B24FAF6" w14:textId="77777777" w:rsidR="0030333A" w:rsidRDefault="0030333A">
      <w:pPr>
        <w:spacing w:before="60" w:after="60" w:line="480" w:lineRule="exact"/>
        <w:ind w:firstLine="640"/>
        <w:rPr>
          <w:rFonts w:ascii="宋体" w:hAnsi="宋体"/>
          <w:sz w:val="32"/>
          <w:szCs w:val="32"/>
        </w:rPr>
      </w:pPr>
    </w:p>
    <w:p w14:paraId="24BC7714" w14:textId="77777777" w:rsidR="0030333A" w:rsidRPr="00724580" w:rsidRDefault="00000000">
      <w:pPr>
        <w:spacing w:before="60" w:after="60" w:line="480" w:lineRule="exact"/>
        <w:ind w:firstLineChars="0" w:firstLine="0"/>
        <w:jc w:val="center"/>
        <w:rPr>
          <w:rFonts w:ascii="黑体" w:eastAsia="黑体" w:hAnsi="黑体" w:cs="黑体"/>
          <w:sz w:val="36"/>
          <w:szCs w:val="36"/>
        </w:rPr>
      </w:pPr>
      <w:r w:rsidRPr="00724580">
        <w:rPr>
          <w:rFonts w:ascii="黑体" w:eastAsia="黑体" w:hAnsi="黑体" w:cs="黑体" w:hint="eastAsia"/>
          <w:sz w:val="36"/>
          <w:szCs w:val="36"/>
        </w:rPr>
        <w:lastRenderedPageBreak/>
        <w:t>两年的杀戮是为了“装满主子的餐盘”</w:t>
      </w:r>
    </w:p>
    <w:p w14:paraId="6D30F599"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亲爱的同志们，</w:t>
      </w:r>
    </w:p>
    <w:p w14:paraId="0A4ADA25"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从一开始，希腊共产党就指出：这场两年前在乌克兰爆发的、已经造成几十万人死亡、让几百万人陷入贫困的军事冲突，只是一场注定要爆发的战争的正式开端，就像已经装满的火药桶终究要爆炸一样。</w:t>
      </w:r>
    </w:p>
    <w:p w14:paraId="749F7A5B"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在社会主义被推翻、苏联解体以及这一背景下发生的反革命进程之后，资产阶级——那些在资本主义复辟进程中窃取了苏联人民艰难赢得的果实的资本家们——形成了。美国、欧盟和北约支持下的乌克兰泽连斯基政府以及</w:t>
      </w:r>
      <w:r>
        <w:rPr>
          <w:rFonts w:ascii="宋体" w:hAnsi="宋体" w:hint="eastAsia"/>
          <w:sz w:val="32"/>
          <w:szCs w:val="32"/>
        </w:rPr>
        <w:sym w:font="Wingdings 2" w:char="00A3"/>
      </w:r>
      <w:r>
        <w:rPr>
          <w:rFonts w:ascii="宋体" w:hAnsi="宋体" w:hint="eastAsia"/>
          <w:sz w:val="32"/>
          <w:szCs w:val="32"/>
        </w:rPr>
        <w:sym w:font="Wingdings 2" w:char="00A3"/>
      </w:r>
      <w:r>
        <w:rPr>
          <w:rFonts w:ascii="宋体" w:hAnsi="宋体" w:hint="eastAsia"/>
          <w:sz w:val="32"/>
          <w:szCs w:val="32"/>
        </w:rPr>
        <w:t>领导的新兴欧亚帝国主义集团支持下的俄罗斯普京政府，都是这些资本家们的代表。</w:t>
      </w:r>
    </w:p>
    <w:p w14:paraId="2525E8C0"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这场军事冲突的核心是瓜分矿产、能源、领土、劳动力、燃料管道、商品运输线、地缘政治支点和市场份额。</w:t>
      </w:r>
    </w:p>
    <w:p w14:paraId="3A5ED29C"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这场冲突的因素之一，是在冲突两方之间瓜分市场和势力范围：一方是美国、北约、欧盟和它们的“欧洲-大西洋扩展”战略；另一方是资本主义的俄罗斯联邦压迫各国人民的剥削计划，其目的是在原苏联地区加强自己的帝国主义联盟即欧亚经济联盟（</w:t>
      </w:r>
      <w:r>
        <w:rPr>
          <w:rFonts w:ascii="宋体" w:hAnsi="宋体"/>
          <w:sz w:val="32"/>
          <w:szCs w:val="32"/>
        </w:rPr>
        <w:t>Eurasian Economic Union</w:t>
      </w:r>
      <w:r>
        <w:rPr>
          <w:rFonts w:ascii="宋体" w:hAnsi="宋体" w:hint="eastAsia"/>
          <w:sz w:val="32"/>
          <w:szCs w:val="32"/>
        </w:rPr>
        <w:t>）和集体安全条约组织（</w:t>
      </w:r>
      <w:r>
        <w:rPr>
          <w:rFonts w:ascii="宋体" w:hAnsi="宋体"/>
          <w:sz w:val="32"/>
          <w:szCs w:val="32"/>
        </w:rPr>
        <w:t>Collective Security Treaty Organization</w:t>
      </w:r>
      <w:r>
        <w:rPr>
          <w:rFonts w:ascii="宋体" w:hAnsi="宋体" w:hint="eastAsia"/>
          <w:sz w:val="32"/>
          <w:szCs w:val="32"/>
        </w:rPr>
        <w:t>）。</w:t>
      </w:r>
    </w:p>
    <w:p w14:paraId="62C281BD"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希腊共产党已经详细阐明了这场流血冲突的原因，并分别反驳了欧盟-北约集团和俄罗斯领导人提出的借口：前</w:t>
      </w:r>
      <w:r>
        <w:rPr>
          <w:rFonts w:ascii="宋体" w:hAnsi="宋体" w:hint="eastAsia"/>
          <w:sz w:val="32"/>
          <w:szCs w:val="32"/>
        </w:rPr>
        <w:lastRenderedPageBreak/>
        <w:t>者的借口是保卫“乌克兰的主权和选择盟友的权利”、支持“民主以反对威权”；后者则为这场针对乌克兰的不可接受的军事侵略辩解，称这是“反法西斯战争”，要“保卫说俄语的人民”或“让乌克兰去军事化”。</w:t>
      </w:r>
    </w:p>
    <w:p w14:paraId="5AF80C0C" w14:textId="77777777" w:rsidR="0030333A" w:rsidRDefault="00000000">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共产主义运动需要从这场战争中得出的一些结论</w:t>
      </w:r>
    </w:p>
    <w:p w14:paraId="78F300C6"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共产主义者和各国人民对帝国主义战争应当采取什么态度？在这个极其重要的问题上，几十年来存在于国际共运队伍中的意识形态-政治危机和组织危机加剧了。</w:t>
      </w:r>
    </w:p>
    <w:p w14:paraId="1D7192A9"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因此，一方面，那些为启迪各国人民及其斗争组织去反对帝国主义战争的共产党挺身而出。一个重要的里程碑是2022年2月26日由希腊共产党、墨西哥共产党、西班牙工人共产党、土耳其共产党发起的，70多个共产党和共产主义青年组织签署的《联合声明》。这份《联合声明》正确地确定了帝国主义战争的性质，强调“为了推翻资本主义，为了加强反对帝国主义战争的阶级斗争，为了仍然适时且必需的社会主义”，需要“在分析事态发展时加强阶级标准，规划我们反对垄断组织和资产阶级的独立道路”。</w:t>
      </w:r>
    </w:p>
    <w:p w14:paraId="29141212"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另一方面，我们应当注意，在这种情况下，并不是所有的共产党都起来斗争。有些党派采取了支持欧洲-大西洋帝国主义的路线，比如在欧洲议会中，被称为左翼的“欧洲联合左翼</w:t>
      </w:r>
      <w:r>
        <w:rPr>
          <w:rFonts w:ascii="宋体" w:hAnsi="宋体"/>
          <w:sz w:val="32"/>
          <w:szCs w:val="32"/>
        </w:rPr>
        <w:t>-北欧绿色左</w:t>
      </w:r>
      <w:r>
        <w:rPr>
          <w:rFonts w:ascii="宋体" w:hAnsi="宋体" w:hint="eastAsia"/>
          <w:sz w:val="32"/>
          <w:szCs w:val="32"/>
        </w:rPr>
        <w:t>翼”议会党团（GUE/NGL）、希腊激进左翼联盟（SYRIZA）、西班牙“我们能”（Podemos）、</w:t>
      </w:r>
      <w:r>
        <w:rPr>
          <w:rFonts w:ascii="宋体" w:hAnsi="宋体" w:hint="eastAsia"/>
          <w:sz w:val="32"/>
          <w:szCs w:val="32"/>
        </w:rPr>
        <w:lastRenderedPageBreak/>
        <w:t>德国左翼党（Die Linke）等组织投票支持为乌克兰提供政治经济援助和军事援助。另一些共产党（如西班牙共产党）口头上反对战争，但是在实践中参加了支持并卷入战争的北约成员国的政府。</w:t>
      </w:r>
    </w:p>
    <w:p w14:paraId="02060A9E"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还有一些共产党接受了俄罗斯资产阶级提供的借口，即这场战争是“反法西斯斗争”。今天，在德国主要资产阶级政党模仿俄罗斯领导人的论据、在德国举行“反法西斯”示威之时，我们可以看见有些党派做出了反应，指出这些集会的组织者是伪善的。然而，在资产阶级俄罗斯使用“反法西斯”借口来掩盖帝国主义战争的问题上，这些党派似乎并未划出明确的界限。</w:t>
      </w:r>
    </w:p>
    <w:p w14:paraId="3CD20D37"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在伪善的“世界反帝平台”（</w:t>
      </w:r>
      <w:r>
        <w:rPr>
          <w:rFonts w:ascii="宋体" w:hAnsi="宋体"/>
          <w:sz w:val="32"/>
          <w:szCs w:val="32"/>
        </w:rPr>
        <w:t>World Anti-Imperialist Platform (WAP)</w:t>
      </w:r>
      <w:r>
        <w:rPr>
          <w:rFonts w:ascii="宋体" w:hAnsi="宋体" w:hint="eastAsia"/>
          <w:sz w:val="32"/>
          <w:szCs w:val="32"/>
        </w:rPr>
        <w:t>）的名字下，出现了一个新的国际组织。它冲在最前边，反对用阶级方法分析国际事态发展，反对建立在马列主义基础上的共产党。领导“世界反帝平台”的是社会民主派势力、某些在本国工人阶级中并无显著影响的共产党或组织。“世界反帝平台”明显站在了一个帝国主义强盗阵营的一边。</w:t>
      </w:r>
    </w:p>
    <w:p w14:paraId="6151CB33"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然而，今天的共产主义运动已经有了更多经验。一些共产党已经从历史中得出结论，拒绝和资产阶级势力一起成立各种“反法西斯阵线”，并强调绝不能把反法西斯斗争和反对滋生法西斯的资本主义社会的斗争割裂开来。</w:t>
      </w:r>
    </w:p>
    <w:p w14:paraId="19ED5AAA"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在帝国主义的乌克兰战争爆发后，激烈的意识形态-政</w:t>
      </w:r>
      <w:r>
        <w:rPr>
          <w:rFonts w:ascii="宋体" w:hAnsi="宋体" w:hint="eastAsia"/>
          <w:sz w:val="32"/>
          <w:szCs w:val="32"/>
        </w:rPr>
        <w:lastRenderedPageBreak/>
        <w:t>治对抗变得更加激烈。在此背景下，“欧洲共产主义倡议”（</w:t>
      </w:r>
      <w:r>
        <w:rPr>
          <w:rFonts w:ascii="宋体" w:hAnsi="宋体"/>
          <w:sz w:val="32"/>
          <w:szCs w:val="32"/>
        </w:rPr>
        <w:t>European Communist Initiative (ECI)</w:t>
      </w:r>
      <w:r>
        <w:rPr>
          <w:rFonts w:ascii="宋体" w:hAnsi="宋体" w:hint="eastAsia"/>
          <w:sz w:val="32"/>
          <w:szCs w:val="32"/>
        </w:rPr>
        <w:t>）先是陷入停滞，后来停止了运作。代替它的是一个新的地区性合作形式，即“欧洲共产主义行动”（</w:t>
      </w:r>
      <w:r>
        <w:rPr>
          <w:rFonts w:ascii="宋体" w:hAnsi="宋体"/>
          <w:sz w:val="32"/>
          <w:szCs w:val="32"/>
        </w:rPr>
        <w:t>European Communist Action (ECA)</w:t>
      </w:r>
      <w:r>
        <w:rPr>
          <w:rFonts w:ascii="宋体" w:hAnsi="宋体" w:hint="eastAsia"/>
          <w:sz w:val="32"/>
          <w:szCs w:val="32"/>
        </w:rPr>
        <w:t>）。一方面，“欧洲共产主义行动”吸取了“欧洲共产主义倡议”的积极经验和消极经验；另一方面，它建立在更全面、更一致的意识形态和政治框架的基础上，这说明它是有希望的。有些人曾认为，如同第二国际在帝国主义的第一次世界大战中走上了破坏和背叛工人利益的道路一样，今天欧洲的共产党和工人党将无法及时地建立起新的合作形式。这种观点被证明是错误的。</w:t>
      </w:r>
    </w:p>
    <w:p w14:paraId="41BBFE41" w14:textId="77777777" w:rsidR="0030333A" w:rsidRDefault="00000000">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建立在马克思列宁主义和无产阶级国际主义基础上的共产党为反对帝国主义而加强斗争</w:t>
      </w:r>
    </w:p>
    <w:p w14:paraId="6415DCED" w14:textId="77777777" w:rsidR="0030333A" w:rsidRDefault="00000000">
      <w:pPr>
        <w:spacing w:before="60" w:after="60" w:line="480" w:lineRule="exact"/>
        <w:ind w:firstLine="640"/>
        <w:rPr>
          <w:rFonts w:ascii="宋体" w:hAnsi="宋体"/>
          <w:sz w:val="32"/>
          <w:szCs w:val="32"/>
          <w:lang w:val="fr-CA"/>
        </w:rPr>
      </w:pPr>
      <w:r>
        <w:rPr>
          <w:rFonts w:ascii="宋体" w:hAnsi="宋体" w:hint="eastAsia"/>
          <w:sz w:val="32"/>
          <w:szCs w:val="32"/>
          <w:lang w:val="fr-CA"/>
        </w:rPr>
        <w:t>针对那些拒绝在帝国主义战争中选边站的共产党，有些势力声称，</w:t>
      </w:r>
      <w:r>
        <w:rPr>
          <w:rFonts w:ascii="宋体" w:hAnsi="宋体" w:hint="eastAsia"/>
          <w:sz w:val="32"/>
          <w:szCs w:val="32"/>
        </w:rPr>
        <w:t>那些</w:t>
      </w:r>
      <w:r>
        <w:rPr>
          <w:rFonts w:ascii="宋体" w:hAnsi="宋体" w:hint="eastAsia"/>
          <w:sz w:val="32"/>
          <w:szCs w:val="32"/>
          <w:lang w:val="fr-CA"/>
        </w:rPr>
        <w:t>党采取的阶级方法会让它们停止对另一阵营（即美国、北约、欧盟）发动斗争。这一指责已被驳斥。真实情况恰恰相反，希腊的例子就很能说明问题。</w:t>
      </w:r>
    </w:p>
    <w:p w14:paraId="35C95DB8"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在帝国主义战争肆虐的两年间，希腊共产党在希腊领导了反对欧洲-大西洋帝国主义集团的斗争。希共组织了重要的反战动员活动，例如在亚历山德鲁波利斯（</w:t>
      </w:r>
      <w:r>
        <w:rPr>
          <w:rFonts w:ascii="宋体" w:hAnsi="宋体"/>
          <w:sz w:val="32"/>
          <w:szCs w:val="32"/>
        </w:rPr>
        <w:t>Alexandroupolis</w:t>
      </w:r>
      <w:r>
        <w:rPr>
          <w:rFonts w:ascii="宋体" w:hAnsi="宋体" w:hint="eastAsia"/>
          <w:sz w:val="32"/>
          <w:szCs w:val="32"/>
        </w:rPr>
        <w:t>）、苏达（Souda）、拉里萨（Larissa）、斯特凡诺维基奥（Stefanovikio）等地的美军基地外举行抗议。希共既支持希腊各个工会和群众组织</w:t>
      </w:r>
      <w:r>
        <w:rPr>
          <w:rFonts w:ascii="宋体" w:hAnsi="宋体" w:hint="eastAsia"/>
          <w:sz w:val="32"/>
          <w:szCs w:val="32"/>
        </w:rPr>
        <w:lastRenderedPageBreak/>
        <w:t>的行动，也支持反战和反帝运动。希共封锁了北约军队使用的公路、铁路和港口。共产党人始终站在反帝斗争的前线，因此他们始终遭受着资产阶级国家镇压机器的攻击。例如，2023年4月6日，在塞萨洛尼基（Thessaloniki）港，防暴警察袭击了罢工集会，逮捕了许多人并把他们送上法庭，其中包括希腊共产党和希腊共青团中央委员会的多位成员、《激进者》（Rizospastis）</w:t>
      </w:r>
      <w:r>
        <w:rPr>
          <w:rStyle w:val="aff"/>
          <w:rFonts w:ascii="宋体" w:hAnsi="宋体" w:hint="eastAsia"/>
          <w:sz w:val="32"/>
          <w:szCs w:val="32"/>
        </w:rPr>
        <w:footnoteReference w:customMarkFollows="1" w:id="1"/>
        <w:t>[1]</w:t>
      </w:r>
      <w:r>
        <w:rPr>
          <w:rFonts w:ascii="宋体" w:hAnsi="宋体" w:hint="eastAsia"/>
          <w:sz w:val="32"/>
          <w:szCs w:val="32"/>
        </w:rPr>
        <w:t>的一位记者和多位工会活动家。当泽连斯基和出生于希腊的“亚速营”新纳粹分子在希腊议会演讲时，希共是唯一一个没有出席的政党。在希腊议会中，希共投票反对扩大美军基地，反对为北约支付军费。在欧洲议会中，新民主党（ND）、激进左翼联盟、泛希腊社会主义运动（PASOK）、极右翼和欧洲“左翼”党派一道支持欧洲帝国主义的战争狂热，呼吁大幅增加对泽连斯基反动政府的军事援助。对此，希共投了反对票，并在人民面前谴责这项提议。希共反对和谴责把属于希腊军队的战争物资部署在乌克兰和训练乌克兰士兵。</w:t>
      </w:r>
    </w:p>
    <w:p w14:paraId="091D2BB9"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同时在近几个月中，希共始终站在各种群众示威的第一线，比如声援巴勒斯坦人民、反对以色列占领者国家对他们实行种族灭绝；再比如反对希腊参与欧洲-大西洋集团的计划——欧洲-大西洋集团想把美国海军和欧洲军队部署到红海，而希腊政府甚至提出允许它们使用希腊中部拉里萨的军事指挥部。这一地区的竞争正在加剧，军备大幅加</w:t>
      </w:r>
      <w:r>
        <w:rPr>
          <w:rFonts w:ascii="宋体" w:hAnsi="宋体" w:hint="eastAsia"/>
          <w:sz w:val="32"/>
          <w:szCs w:val="32"/>
        </w:rPr>
        <w:lastRenderedPageBreak/>
        <w:t>强。在对抗胡塞组织、保护航海安全的旗号下，欧洲-大西洋集团针对也门的行动和导弹袭击正在让紧张局势继续升级，发生军事冲突的风险正在增加。结束加沙大屠杀、结束以色列对巴勒斯坦领土的占领的需要变得更加急迫，已经成了该地区局势降温的一个条件。</w:t>
      </w:r>
    </w:p>
    <w:p w14:paraId="3F22FD72" w14:textId="77777777" w:rsidR="0030333A" w:rsidRDefault="00000000">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关于世界帝国主义体系中各势力之间的相互关系</w:t>
      </w:r>
    </w:p>
    <w:p w14:paraId="3C61E2D2"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亲爱的同志们，</w:t>
      </w:r>
    </w:p>
    <w:p w14:paraId="1247550E" w14:textId="517282D1" w:rsidR="0030333A" w:rsidRDefault="00000000">
      <w:pPr>
        <w:spacing w:before="60" w:after="60" w:line="480" w:lineRule="exact"/>
        <w:ind w:firstLine="640"/>
        <w:rPr>
          <w:rFonts w:ascii="宋体" w:hAnsi="宋体"/>
          <w:sz w:val="32"/>
          <w:szCs w:val="32"/>
        </w:rPr>
      </w:pPr>
      <w:r>
        <w:rPr>
          <w:rFonts w:ascii="宋体" w:hAnsi="宋体" w:hint="eastAsia"/>
          <w:sz w:val="32"/>
          <w:szCs w:val="32"/>
        </w:rPr>
        <w:t>请允许我们做若干简要评论。在战争爆发两周年纪念日即将到来之际，尽管有北约的支持，乌克兰的反攻仍然没有取得实效。在前线，正在发生堑壕战、消耗战，现代武器系统也正在被测试。俄罗斯仍控制着乌克兰20%的领土，而乌克兰已经失去了全国40%的工业潜能和</w:t>
      </w:r>
      <w:r w:rsidR="00FA6B06">
        <w:rPr>
          <w:rFonts w:ascii="宋体" w:hAnsi="宋体" w:hint="eastAsia"/>
          <w:sz w:val="32"/>
          <w:szCs w:val="32"/>
        </w:rPr>
        <w:t>15%的</w:t>
      </w:r>
      <w:r>
        <w:rPr>
          <w:rFonts w:ascii="宋体" w:hAnsi="宋体" w:hint="eastAsia"/>
          <w:sz w:val="32"/>
          <w:szCs w:val="32"/>
        </w:rPr>
        <w:t>战前国内生产总值（GDP）。根据俄罗斯方面的估计，乌克兰还失去了价值12万亿美元的原材料（包括</w:t>
      </w:r>
      <w:r w:rsidR="00FA6B06">
        <w:rPr>
          <w:rFonts w:ascii="宋体" w:hAnsi="宋体" w:hint="eastAsia"/>
          <w:sz w:val="32"/>
          <w:szCs w:val="32"/>
        </w:rPr>
        <w:t>63%的</w:t>
      </w:r>
      <w:r>
        <w:rPr>
          <w:rFonts w:ascii="宋体" w:hAnsi="宋体" w:hint="eastAsia"/>
          <w:sz w:val="32"/>
          <w:szCs w:val="32"/>
        </w:rPr>
        <w:t>煤矿储量和</w:t>
      </w:r>
      <w:r w:rsidR="00FA6B06">
        <w:rPr>
          <w:rFonts w:ascii="宋体" w:hAnsi="宋体" w:hint="eastAsia"/>
          <w:sz w:val="32"/>
          <w:szCs w:val="32"/>
        </w:rPr>
        <w:t>42%的</w:t>
      </w:r>
      <w:r>
        <w:rPr>
          <w:rFonts w:ascii="宋体" w:hAnsi="宋体" w:hint="eastAsia"/>
          <w:sz w:val="32"/>
          <w:szCs w:val="32"/>
        </w:rPr>
        <w:t>金属储量）。</w:t>
      </w:r>
    </w:p>
    <w:p w14:paraId="5596A77E"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在此情况下，欧洲-大西洋集团的官员们对战争进程表示担忧。美国是否继续向乌克兰提供财政援助已成问题，有人呼吁说乌克兰有必要在“割让乌克兰领土”问题上与俄罗斯公开对话，这是泽连斯基政府现在仍不承认的。我们无法排除乌克兰政坛发生大动荡的可能性。</w:t>
      </w:r>
    </w:p>
    <w:p w14:paraId="0FA46977"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相反，在俄罗斯资产阶级这边，它至少暂时性地镇压了军队内部的“叛乱”，比如镇压了“普利戈任事件”和他的雇佣军；在前线，俄罗斯武装部队在地面和空中行动</w:t>
      </w:r>
      <w:r>
        <w:rPr>
          <w:rFonts w:ascii="宋体" w:hAnsi="宋体" w:hint="eastAsia"/>
          <w:sz w:val="32"/>
          <w:szCs w:val="32"/>
        </w:rPr>
        <w:lastRenderedPageBreak/>
        <w:t>中保持了相对优势，武器储备也很充足。经济上，即便在战争时期受到封锁，俄罗斯的实际国内生产总值（GDP）在全世界的排名仍然从第六位上升到第五位，超越了德国。</w:t>
      </w:r>
    </w:p>
    <w:p w14:paraId="316EA1CB"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某些势力宣称，俄罗斯是“弱小的”、“依附性的”资本主义国家，是“世界的加油站”，处于资本主义“边缘”的某个地方。上述事态发展已经反驳了这些言论，并证实了希共的估计——在由具有不平衡的相互依赖关系的资本主义国家组成的今日帝国主义“金字塔”中，俄罗斯凭借其强大的经济、政治和军事潜力，占据着最重要的位置之一。</w:t>
      </w:r>
    </w:p>
    <w:p w14:paraId="7C41BEFC" w14:textId="77777777" w:rsidR="0030333A" w:rsidRDefault="00000000">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战争让帝国主义之间的经济合作变得困难，但并非不可能</w:t>
      </w:r>
    </w:p>
    <w:p w14:paraId="0148CC60" w14:textId="77777777" w:rsidR="0030333A" w:rsidRDefault="00000000">
      <w:pPr>
        <w:spacing w:before="60" w:after="60" w:line="480" w:lineRule="exact"/>
        <w:ind w:firstLine="640"/>
        <w:rPr>
          <w:rFonts w:ascii="宋体" w:hAnsi="宋体"/>
          <w:sz w:val="32"/>
          <w:szCs w:val="32"/>
          <w:lang w:val="fr-CA"/>
        </w:rPr>
      </w:pPr>
      <w:r>
        <w:rPr>
          <w:rFonts w:ascii="宋体" w:hAnsi="宋体" w:hint="eastAsia"/>
          <w:sz w:val="32"/>
          <w:szCs w:val="32"/>
          <w:lang w:val="fr-CA"/>
        </w:rPr>
        <w:t>第二个要点是：我们谈论的是另一种“奇怪”战争。成千上万人在战场上被屠杀，而同时</w:t>
      </w:r>
      <w:r>
        <w:rPr>
          <w:rFonts w:ascii="宋体" w:hAnsi="宋体" w:hint="eastAsia"/>
          <w:sz w:val="32"/>
          <w:szCs w:val="32"/>
        </w:rPr>
        <w:t>交战</w:t>
      </w:r>
      <w:r>
        <w:rPr>
          <w:rFonts w:ascii="宋体" w:hAnsi="宋体" w:hint="eastAsia"/>
          <w:sz w:val="32"/>
          <w:szCs w:val="32"/>
          <w:lang w:val="fr-CA"/>
        </w:rPr>
        <w:t>双方的资本家们仍然保持着稳固的合作，虽然这种合作相较于2022年2月之前更加有限。</w:t>
      </w:r>
    </w:p>
    <w:p w14:paraId="60D5380B"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比方说，俄罗斯仍然向美国和法国的核设施出售浓缩铀。美国92个核反应堆所需资源的很大一部分是由俄罗斯供应的，2023年的供应量甚至比2022年还多一倍。</w:t>
      </w:r>
    </w:p>
    <w:p w14:paraId="6ED3EE89"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在美国国家航空航天局（NASA）的太空项目中，美国仍在与俄罗斯合作；而俄罗斯天然气工业股份公司（Gazprom）也仍在通过战争蹂躏下的乌克兰土地上的管道，将俄罗斯的天然气输往欧盟，这让俄罗斯的资本主义持股</w:t>
      </w:r>
      <w:r>
        <w:rPr>
          <w:rFonts w:ascii="宋体" w:hAnsi="宋体" w:hint="eastAsia"/>
          <w:sz w:val="32"/>
          <w:szCs w:val="32"/>
        </w:rPr>
        <w:lastRenderedPageBreak/>
        <w:t>人很是高兴。美国雪佛龙（Chevron）公司也在继续运转，它在哈萨克斯坦开采的石油，先是通过哈萨克斯坦和俄罗斯境内1500公里长的管道到达黑海沿岸的俄罗斯港口——新罗西斯克（Novorossiysk），然后在那里装上轮船。在哈萨克斯坦开采的石油要想进入世界市场，有三分之二都要经过这条管道。</w:t>
      </w:r>
    </w:p>
    <w:p w14:paraId="537302B1"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此外，俄罗斯的原材料和其他商品仍在通过“第三方”输送给所谓“西方集体”——这是俄罗斯对那些在贸易上制裁俄罗斯的国家的称呼。</w:t>
      </w:r>
    </w:p>
    <w:p w14:paraId="7E3B2321"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另一边，“西方集体”制造的产品也在通过所谓“全球南方国家”卖给俄罗斯。“全球南方国家”指的是那些不进行反俄制裁的国家，包括</w:t>
      </w:r>
      <w:r>
        <w:rPr>
          <w:rFonts w:ascii="宋体" w:hAnsi="宋体" w:hint="eastAsia"/>
          <w:sz w:val="32"/>
          <w:szCs w:val="32"/>
        </w:rPr>
        <w:sym w:font="Wingdings 2" w:char="00A3"/>
      </w:r>
      <w:r>
        <w:rPr>
          <w:rFonts w:ascii="宋体" w:hAnsi="宋体" w:hint="eastAsia"/>
          <w:sz w:val="32"/>
          <w:szCs w:val="32"/>
        </w:rPr>
        <w:sym w:font="Wingdings 2" w:char="00A3"/>
      </w:r>
      <w:r>
        <w:rPr>
          <w:rFonts w:ascii="宋体" w:hAnsi="宋体" w:hint="eastAsia"/>
          <w:sz w:val="32"/>
          <w:szCs w:val="32"/>
        </w:rPr>
        <w:t>、印度、土耳其等国，虽然它们显然并不在南半球。</w:t>
      </w:r>
    </w:p>
    <w:p w14:paraId="3DBF993B"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双方的贸易中也发生了黑色幽默的事件。今年1月，俄罗斯海关机构发现，有一列装载乌克兰军服的列车想从</w:t>
      </w:r>
      <w:r>
        <w:rPr>
          <w:rFonts w:ascii="宋体" w:hAnsi="宋体" w:hint="eastAsia"/>
          <w:sz w:val="32"/>
          <w:szCs w:val="32"/>
        </w:rPr>
        <w:sym w:font="Wingdings 2" w:char="00A3"/>
      </w:r>
      <w:r>
        <w:rPr>
          <w:rFonts w:ascii="宋体" w:hAnsi="宋体" w:hint="eastAsia"/>
          <w:sz w:val="32"/>
          <w:szCs w:val="32"/>
        </w:rPr>
        <w:sym w:font="Wingdings 2" w:char="00A3"/>
      </w:r>
      <w:r>
        <w:rPr>
          <w:rFonts w:ascii="宋体" w:hAnsi="宋体" w:hint="eastAsia"/>
          <w:sz w:val="32"/>
          <w:szCs w:val="32"/>
        </w:rPr>
        <w:t>出发经过俄罗斯运往波兰。这辆火车被遣返回</w:t>
      </w:r>
      <w:r>
        <w:rPr>
          <w:rFonts w:ascii="宋体" w:hAnsi="宋体" w:hint="eastAsia"/>
          <w:sz w:val="32"/>
          <w:szCs w:val="32"/>
        </w:rPr>
        <w:sym w:font="Wingdings 2" w:char="00A3"/>
      </w:r>
      <w:r>
        <w:rPr>
          <w:rFonts w:ascii="宋体" w:hAnsi="宋体" w:hint="eastAsia"/>
          <w:sz w:val="32"/>
          <w:szCs w:val="32"/>
        </w:rPr>
        <w:sym w:font="Wingdings 2" w:char="00A3"/>
      </w:r>
      <w:r>
        <w:rPr>
          <w:rFonts w:ascii="宋体" w:hAnsi="宋体" w:hint="eastAsia"/>
          <w:sz w:val="32"/>
          <w:szCs w:val="32"/>
        </w:rPr>
        <w:t>，但却无法排除这种可能：装有敌方所需物资的列车可能曾经过俄罗斯领土，甚至现在正在经过俄罗斯领土。乌克兰那边也发生过类似事件。</w:t>
      </w:r>
    </w:p>
    <w:p w14:paraId="7A664A2A"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帝国主义战争收割着成千上万人的生命，尤其是乌克兰和俄罗斯年轻人的生命。然而上面这些情况却证明了，交战双方越发富有的少数人的利润正在增长。</w:t>
      </w:r>
    </w:p>
    <w:p w14:paraId="7A9EA4C1" w14:textId="77777777" w:rsidR="001F0B7A" w:rsidRDefault="001F0B7A">
      <w:pPr>
        <w:spacing w:before="60" w:after="60" w:line="480" w:lineRule="exact"/>
        <w:ind w:firstLine="640"/>
        <w:rPr>
          <w:rFonts w:ascii="宋体" w:hAnsi="宋体"/>
          <w:sz w:val="32"/>
          <w:szCs w:val="32"/>
        </w:rPr>
      </w:pPr>
    </w:p>
    <w:p w14:paraId="41383660" w14:textId="77777777" w:rsidR="0030333A" w:rsidRDefault="00000000">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lastRenderedPageBreak/>
        <w:t>人民在受苦，资本家们却在“分蛋糕”</w:t>
      </w:r>
    </w:p>
    <w:p w14:paraId="248AEA4D"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乌克兰仍深陷战争动荡之中，然而交战双方却已经开始了“重建”工作。我们要说的第三个要点正是关于此。在乌克兰这边，最强大的帝国主义大国（如德国）的垄断企业正在为“重建”而从事“协调”资本投资的“任务”。这些大国通过欧洲投资银行（</w:t>
      </w:r>
      <w:r>
        <w:rPr>
          <w:rFonts w:ascii="宋体" w:hAnsi="宋体"/>
          <w:sz w:val="32"/>
          <w:szCs w:val="32"/>
        </w:rPr>
        <w:t>European Investment Bank (EIB)</w:t>
      </w:r>
      <w:r>
        <w:rPr>
          <w:rFonts w:ascii="宋体" w:hAnsi="宋体" w:hint="eastAsia"/>
          <w:sz w:val="32"/>
          <w:szCs w:val="32"/>
        </w:rPr>
        <w:t>）等各种金融组织资助乌克兰的各种项目。这些项目价值几十亿欧元，涉及交通基础设施、能源、水源供应、学校、医院等。乌克兰的“重建”所需花销将极为巨大，因此欧洲垄断组织正在要求乌克兰方面作出“担保”。</w:t>
      </w:r>
    </w:p>
    <w:p w14:paraId="004B5542"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俄罗斯占领的土地也不容忽视：有1100万人住在那里（卢甘斯克220万，顿涅茨克400万，扎波罗热150万，赫尔松100万，克里米亚250万），有几百个工业基地、巨量的矿藏和肥沃的土地。那里的情况也很相似：资本家们瓜分工厂等工业单位和生产单位，同时“重建”也在齐头并进。俄罗斯资本家取代了乌克兰资本家的位置，而那些未被征召、未上前线的工人们将继续付出血汗，让老板们得以收获利润。</w:t>
      </w:r>
    </w:p>
    <w:p w14:paraId="65126AD0"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上面的事实证明，与俄罗斯领导人的论断相反，不是美国“把欧盟拖入战争”，欧盟领导人也不是“美国的傀儡”。“绿色”垄断组织、希腊船东等欧洲资本家集团是在按照自己的利益行事，战时状态极大地促进了它们的利益。</w:t>
      </w:r>
    </w:p>
    <w:p w14:paraId="0E98A35B"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lastRenderedPageBreak/>
        <w:t>同样，与各种机会主义圈子的论断相反，俄罗斯对乌克兰的不可接受的入侵也不是为了创造什么“公正的多极世界”。</w:t>
      </w:r>
    </w:p>
    <w:p w14:paraId="10BF8A3E"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伟大的希腊共产主义诗人科斯塔斯·瓦纳利斯（</w:t>
      </w:r>
      <w:r>
        <w:rPr>
          <w:rFonts w:ascii="宋体" w:hAnsi="宋体"/>
          <w:sz w:val="32"/>
          <w:szCs w:val="32"/>
        </w:rPr>
        <w:t>Kostas Varnalis</w:t>
      </w:r>
      <w:r>
        <w:rPr>
          <w:rFonts w:ascii="宋体" w:hAnsi="宋体" w:hint="eastAsia"/>
          <w:sz w:val="32"/>
          <w:szCs w:val="32"/>
        </w:rPr>
        <w:t>）在诗中以寓言的方式将受奴役的、屈从于他人的、被驯服的人类和驴子作比较。诗中的人类有这样一段独白：“最后，当战争爆发时，我不停地制造出机枪，这样就可以杀戮人民，就可以装满我的主子的餐盘”。这正是帝国主义的乌克兰战争的真正本质。</w:t>
      </w:r>
    </w:p>
    <w:p w14:paraId="1F271822"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共产党和工人党领导下的工人阶级和大众阶层必须更加努力，反对自己的国家卷入帝国主义计划和帝国主义战争。他们应当把这场斗争与争取今日工人和人民的权利的斗争结合起来，同时要挑战资本主义的统治、打破当前的制度，以推翻资本主义、建设新的社会主义-共产主义社会；这个社会将终结剥削和战争。我们呼吁“欧洲共产主义行动”及其成员党在这一事业中发挥领导作用。</w:t>
      </w:r>
    </w:p>
    <w:p w14:paraId="39D59F40" w14:textId="77777777" w:rsidR="0030333A" w:rsidRDefault="00000000">
      <w:pPr>
        <w:widowControl/>
        <w:spacing w:line="240" w:lineRule="auto"/>
        <w:ind w:firstLineChars="0" w:firstLine="0"/>
        <w:jc w:val="left"/>
        <w:rPr>
          <w:rFonts w:ascii="宋体" w:hAnsi="宋体"/>
          <w:sz w:val="32"/>
          <w:szCs w:val="32"/>
        </w:rPr>
      </w:pPr>
      <w:r>
        <w:rPr>
          <w:rFonts w:ascii="宋体" w:hAnsi="宋体"/>
          <w:sz w:val="32"/>
          <w:szCs w:val="32"/>
        </w:rPr>
        <w:br w:type="page"/>
      </w:r>
    </w:p>
    <w:p w14:paraId="534B3E5A" w14:textId="77777777" w:rsidR="0030333A" w:rsidRDefault="00000000">
      <w:pPr>
        <w:pStyle w:val="1"/>
        <w:rPr>
          <w:rFonts w:ascii="黑体" w:eastAsia="黑体" w:hAnsi="黑体"/>
          <w:szCs w:val="36"/>
        </w:rPr>
      </w:pPr>
      <w:bookmarkStart w:id="8" w:name="_Toc167524588"/>
      <w:r>
        <w:rPr>
          <w:rFonts w:ascii="黑体" w:eastAsia="黑体" w:hAnsi="黑体" w:hint="eastAsia"/>
          <w:szCs w:val="36"/>
        </w:rPr>
        <w:lastRenderedPageBreak/>
        <w:t>伊朗人民党向抵制议会选举的人民致敬</w:t>
      </w:r>
      <w:bookmarkEnd w:id="8"/>
    </w:p>
    <w:p w14:paraId="08A3F650" w14:textId="77777777" w:rsidR="0030333A" w:rsidRDefault="00000000">
      <w:pPr>
        <w:ind w:firstLineChars="0" w:firstLine="0"/>
        <w:jc w:val="center"/>
      </w:pPr>
      <w:r>
        <w:rPr>
          <w:rFonts w:ascii="宋体" w:hAnsi="宋体"/>
          <w:noProof/>
          <w:sz w:val="24"/>
        </w:rPr>
        <w:drawing>
          <wp:inline distT="0" distB="0" distL="114300" distR="114300" wp14:anchorId="7BDC9014" wp14:editId="57903850">
            <wp:extent cx="5147945" cy="2903855"/>
            <wp:effectExtent l="0" t="0" r="14605" b="1079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20"/>
                    <a:stretch>
                      <a:fillRect/>
                    </a:stretch>
                  </pic:blipFill>
                  <pic:spPr>
                    <a:xfrm>
                      <a:off x="0" y="0"/>
                      <a:ext cx="5147945" cy="2903855"/>
                    </a:xfrm>
                    <a:prstGeom prst="rect">
                      <a:avLst/>
                    </a:prstGeom>
                    <a:noFill/>
                    <a:ln w="9525">
                      <a:noFill/>
                    </a:ln>
                  </pic:spPr>
                </pic:pic>
              </a:graphicData>
            </a:graphic>
          </wp:inline>
        </w:drawing>
      </w:r>
    </w:p>
    <w:p w14:paraId="152D18F5" w14:textId="77777777" w:rsidR="0030333A" w:rsidRDefault="00000000">
      <w:pPr>
        <w:spacing w:before="240" w:after="120" w:line="360" w:lineRule="exact"/>
        <w:ind w:firstLine="560"/>
        <w:jc w:val="left"/>
        <w:rPr>
          <w:rFonts w:ascii="Times New Roman" w:eastAsia="仿宋" w:hAnsi="Times New Roman" w:cs="Times New Roman"/>
          <w:szCs w:val="28"/>
        </w:rPr>
      </w:pPr>
      <w:bookmarkStart w:id="9" w:name="OLE_LINK4"/>
      <w:r>
        <w:rPr>
          <w:rFonts w:ascii="Times New Roman" w:eastAsia="仿宋" w:hAnsi="Times New Roman" w:cs="Times New Roman"/>
          <w:szCs w:val="28"/>
        </w:rPr>
        <w:t>来源</w:t>
      </w:r>
      <w:r>
        <w:rPr>
          <w:rFonts w:ascii="Times New Roman" w:eastAsia="仿宋" w:hAnsi="Times New Roman" w:cs="Times New Roman" w:hint="eastAsia"/>
          <w:szCs w:val="28"/>
        </w:rPr>
        <w:t>：伊朗人民党网站</w:t>
      </w:r>
    </w:p>
    <w:p w14:paraId="7E2323D3" w14:textId="77777777" w:rsidR="0030333A" w:rsidRDefault="00000000">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3</w:t>
      </w:r>
      <w:r>
        <w:rPr>
          <w:rFonts w:ascii="Times New Roman" w:eastAsia="仿宋" w:hAnsi="Times New Roman" w:cs="Times New Roman"/>
          <w:szCs w:val="28"/>
        </w:rPr>
        <w:t>月</w:t>
      </w:r>
      <w:r>
        <w:rPr>
          <w:rFonts w:ascii="Times New Roman" w:eastAsia="仿宋" w:hAnsi="Times New Roman" w:cs="Times New Roman" w:hint="eastAsia"/>
          <w:szCs w:val="28"/>
        </w:rPr>
        <w:t>3</w:t>
      </w:r>
      <w:r>
        <w:rPr>
          <w:rFonts w:ascii="Times New Roman" w:eastAsia="仿宋" w:hAnsi="Times New Roman" w:cs="Times New Roman" w:hint="eastAsia"/>
          <w:szCs w:val="28"/>
        </w:rPr>
        <w:t>日</w:t>
      </w:r>
    </w:p>
    <w:p w14:paraId="25225808" w14:textId="77777777" w:rsidR="0030333A" w:rsidRDefault="00000000">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hint="eastAsia"/>
          <w:szCs w:val="28"/>
        </w:rPr>
        <w:t>链</w:t>
      </w:r>
      <w:r>
        <w:rPr>
          <w:rFonts w:ascii="Times New Roman" w:eastAsia="仿宋" w:hAnsi="Times New Roman" w:cs="Times New Roman"/>
          <w:szCs w:val="28"/>
        </w:rPr>
        <w:t>接</w:t>
      </w:r>
      <w:r>
        <w:rPr>
          <w:rFonts w:ascii="Times New Roman" w:eastAsia="仿宋" w:hAnsi="Times New Roman" w:cs="Times New Roman" w:hint="eastAsia"/>
          <w:szCs w:val="28"/>
        </w:rPr>
        <w:t>：</w:t>
      </w:r>
      <w:bookmarkStart w:id="10" w:name="OLE_LINK2"/>
      <w:r>
        <w:rPr>
          <w:rStyle w:val="afd"/>
          <w:rFonts w:ascii="Times New Roman" w:eastAsia="仿宋" w:hAnsi="Times New Roman" w:cs="Times New Roman" w:hint="eastAsia"/>
          <w:szCs w:val="28"/>
        </w:rPr>
        <w:fldChar w:fldCharType="begin"/>
      </w:r>
      <w:r>
        <w:rPr>
          <w:rStyle w:val="afd"/>
          <w:rFonts w:ascii="Times New Roman" w:eastAsia="仿宋" w:hAnsi="Times New Roman" w:cs="Times New Roman" w:hint="eastAsia"/>
          <w:szCs w:val="28"/>
        </w:rPr>
        <w:instrText xml:space="preserve"> HYPERLINK "https://www.tudehpartyiran.org/en/2024/04/20/the-statement-of-the-tudeh-party-of-iran-we-salute-the-vigilant-and-heroic-people-of-iran/" </w:instrText>
      </w:r>
      <w:r>
        <w:rPr>
          <w:rStyle w:val="afd"/>
          <w:rFonts w:ascii="Times New Roman" w:eastAsia="仿宋" w:hAnsi="Times New Roman" w:cs="Times New Roman" w:hint="eastAsia"/>
          <w:szCs w:val="28"/>
        </w:rPr>
      </w:r>
      <w:r>
        <w:rPr>
          <w:rStyle w:val="afd"/>
          <w:rFonts w:ascii="Times New Roman" w:eastAsia="仿宋" w:hAnsi="Times New Roman" w:cs="Times New Roman" w:hint="eastAsia"/>
          <w:szCs w:val="28"/>
        </w:rPr>
        <w:fldChar w:fldCharType="separate"/>
      </w:r>
      <w:r>
        <w:rPr>
          <w:rStyle w:val="afd"/>
          <w:rFonts w:ascii="Times New Roman" w:eastAsia="仿宋" w:hAnsi="Times New Roman" w:cs="Times New Roman" w:hint="eastAsia"/>
          <w:szCs w:val="28"/>
        </w:rPr>
        <w:t>https://www.tudehpartyiran.org/en/2024/04/20/the-statement-of-the-tudeh-party-of-iran-we-salute-the-vigilant-and-heroic-people-of-iran/</w:t>
      </w:r>
      <w:r>
        <w:rPr>
          <w:rStyle w:val="afd"/>
          <w:rFonts w:ascii="Times New Roman" w:eastAsia="仿宋" w:hAnsi="Times New Roman" w:cs="Times New Roman" w:hint="eastAsia"/>
          <w:szCs w:val="28"/>
        </w:rPr>
        <w:fldChar w:fldCharType="end"/>
      </w:r>
    </w:p>
    <w:bookmarkEnd w:id="9"/>
    <w:bookmarkEnd w:id="10"/>
    <w:p w14:paraId="3197E07B" w14:textId="77777777" w:rsidR="0030333A" w:rsidRDefault="00000000">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伊朗人民党：我们向机警而英雄的伊朗人民致敬</w:t>
      </w:r>
    </w:p>
    <w:p w14:paraId="2A8BA3A7" w14:textId="77777777" w:rsidR="0030333A" w:rsidRDefault="00000000">
      <w:pPr>
        <w:spacing w:before="60" w:after="60" w:line="480" w:lineRule="exact"/>
        <w:ind w:firstLine="640"/>
        <w:rPr>
          <w:rFonts w:ascii="黑体" w:eastAsia="黑体" w:hAnsi="黑体" w:cs="黑体"/>
          <w:sz w:val="32"/>
          <w:szCs w:val="32"/>
        </w:rPr>
      </w:pPr>
      <w:r>
        <w:rPr>
          <w:rFonts w:ascii="黑体" w:eastAsia="黑体" w:hAnsi="黑体" w:cs="黑体" w:hint="eastAsia"/>
          <w:sz w:val="32"/>
          <w:szCs w:val="32"/>
        </w:rPr>
        <w:t>人民对专横压迫的统治政权的响亮拒绝与可耻的“选举”作秀的失败</w:t>
      </w:r>
    </w:p>
    <w:p w14:paraId="4A1216C2"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亲爱的公民，进步的、热爱和平的伊朗劳动人民，</w:t>
      </w:r>
    </w:p>
    <w:p w14:paraId="32FFE931"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2024年3月1日的所谓“选举”遭到了我国数千万公民以及所有进步的、热爱自由的力量的抵制，从而彻底失败。在我们为结束腐败而残暴的神政政权和在我国建立民</w:t>
      </w:r>
      <w:r>
        <w:rPr>
          <w:rFonts w:ascii="宋体" w:hAnsi="宋体" w:hint="eastAsia"/>
          <w:sz w:val="32"/>
          <w:szCs w:val="32"/>
        </w:rPr>
        <w:lastRenderedPageBreak/>
        <w:t>族民主政府铺平道路而进行的共同斗争中，这是一个重要的里程碑。</w:t>
      </w:r>
    </w:p>
    <w:p w14:paraId="1EA1D90A"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尽管政权的领导人和其他首脑为举办一场“令人振奋的选举”而费尽全力、颁布法令并提出建议，但是即便根据内政部官方的欺诈性统计数据，仍有3500多万伊朗人（在6100万有资格投票的人中间）拒绝前往投票站，这是一次明显的抗议行动。许多城市的无效选票数量超过了那里获胜的候选人赢得的票数。根据内政部“选举办公室”已发表的声明，全国31个省中有15个省的议会选举已经进入了第二轮。</w:t>
      </w:r>
    </w:p>
    <w:p w14:paraId="42101F1D"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在德黑兰，符合条件的选民超过100万。马哈茂德·纳巴维安（Mahmoud Nabaviyan）以54.5万张选票在议会中获得了一个席位。他是梅斯巴·亚兹迪（Mesbah Yazdi）（主要的保守派）的学生，同时也是塔利班的支持者。根据迈赫尔通讯社（Mehr news agency）的报道，德黑兰的选民投票率为24%。《信任报》（Etemad newspaper）将这一比例与2022年的34.39%的投票率作了比较，并在报道中写道：“因此，本次选举日见证了德黑兰的最低投票率。”此外，社交媒体上的报道显示，德黑兰还发生了数十万次无效投票。因此，不仅绝大多数人放弃了参加选举，而且还有很大一部分在压力和威胁之下前往投票站的人投下了无效的票。3月2日，在德黑兰已经清点了选票箱中80%的选票之后，伊朗劳工通讯社（ILNA (Iran’s Labour News Agency)）驻内政部记者巴西</w:t>
      </w:r>
      <w:r>
        <w:rPr>
          <w:rFonts w:ascii="宋体" w:hAnsi="宋体" w:hint="eastAsia"/>
          <w:sz w:val="32"/>
          <w:szCs w:val="32"/>
        </w:rPr>
        <w:lastRenderedPageBreak/>
        <w:t>姆·拉勒（Basim Laleh）在社交媒体X上写道：“无效投票数超过38万。”与原教旨主义者关系密切的记者穆哈默德·莫哈杰里（Mohammad Mohajeri）也观察到了这样的现象：“大多数城市，甚至德黑兰这样的大城市的议会选举结果都是奇怪而引人注目的。也就是说，无效投票位列第一或第二！”</w:t>
      </w:r>
    </w:p>
    <w:p w14:paraId="7F866423"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亲爱的公民们，</w:t>
      </w:r>
    </w:p>
    <w:p w14:paraId="61BC934A"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相当长的一段时间以来，这个反人民的、犯罪的、腐败的政权已经失去了统治国家的合法性。它只有依靠暴力和残酷镇压民众抗议才能生存。最近几周，我们见证了这个国家的工人和劳动人民的英勇斗争，其中包括阿瓦士钢铁工人、石油工人和退休者的斗争，他们起来反对政权的压迫性政策。</w:t>
      </w:r>
    </w:p>
    <w:p w14:paraId="1A6B7266"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这些政策使我国陷入了贫困和匮乏。据统计，现在有数千万公民不得不生活在贫困线以下，承受着巨大的苦难。这种程度的贫困和匮乏，在我们当代历史上是前所未有的。</w:t>
      </w:r>
    </w:p>
    <w:p w14:paraId="271077D7"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伊斯兰共和国政权就是为了大商业资产阶级和在国家军事安全机构内部扎根并发展的官僚的利益而运作的。这促使伊朗走向了全面的经济破产，并通过实施反人民的、新自由主义的政策和计划，前所未有地扩大了堕落的社会风气。</w:t>
      </w:r>
    </w:p>
    <w:p w14:paraId="3DD24334"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正是在此基础上，伊朗的工人阶级和劳动人民在反对专制政权的决定性的“绝不”运动中发挥了重要的实际作</w:t>
      </w:r>
      <w:r>
        <w:rPr>
          <w:rFonts w:ascii="宋体" w:hAnsi="宋体" w:hint="eastAsia"/>
          <w:sz w:val="32"/>
          <w:szCs w:val="32"/>
        </w:rPr>
        <w:lastRenderedPageBreak/>
        <w:t>用，并打破了2024年3月1日的虚假选举。</w:t>
      </w:r>
    </w:p>
    <w:p w14:paraId="46690266"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对2024年3月1日选举的广泛而统一的抵制，得到了来自工人、退休者、教师、寻求正义的受害者家属、政治犯、民间组织、进步和热爱自由的力量以及各政党和组织的支持。这意味着，我们能够通过共同的努力来挑战任何形式的独裁统治。伊朗人民党认为这个国家的恶劣条件就好比灰烬之下的火星一样，终将不可避免地再次燃烧起来，如同2017年、2019年广泛的民众抗议活动和2022年至2023年的“妇女、生命、自由”运动那样。</w:t>
      </w:r>
    </w:p>
    <w:p w14:paraId="458DDB18"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尽管面临政权雇佣军的压制，但我国工人与劳动人民的英勇斗争仍在继续增长。必须齐心协力把这种斗争和退休者、妇女、教育工作者以及青年的斗争联合起来，这种联合的目的是为形成总罢工运动和发动全国性工人总罢工铺平道路。</w:t>
      </w:r>
    </w:p>
    <w:p w14:paraId="6E1B11F7"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我们的首要任务就是为推翻这个违背人民利益的专制伊斯兰政权开辟道路。我们可以通过学习这些广泛抗议运动的经验和研究它们的弱点（包括缺乏指导斗争的统一战线）来实现这一点。</w:t>
      </w:r>
    </w:p>
    <w:p w14:paraId="1F8D204D" w14:textId="77777777" w:rsidR="0030333A" w:rsidRDefault="00000000">
      <w:pPr>
        <w:spacing w:before="60" w:after="60" w:line="480" w:lineRule="exact"/>
        <w:ind w:firstLine="640"/>
        <w:rPr>
          <w:rFonts w:ascii="宋体" w:hAnsi="宋体"/>
          <w:sz w:val="32"/>
          <w:szCs w:val="32"/>
        </w:rPr>
      </w:pPr>
      <w:r>
        <w:rPr>
          <w:rFonts w:ascii="宋体" w:hAnsi="宋体" w:hint="eastAsia"/>
          <w:sz w:val="32"/>
          <w:szCs w:val="32"/>
        </w:rPr>
        <w:t>伊朗人民党随时准备与我国所有爱国的、热爱自由的力量合作，以便通过这一努力找到适当的出路。</w:t>
      </w:r>
    </w:p>
    <w:p w14:paraId="041CEF49" w14:textId="77777777" w:rsidR="0030333A" w:rsidRDefault="0030333A">
      <w:pPr>
        <w:spacing w:before="60" w:after="60" w:line="480" w:lineRule="exact"/>
        <w:ind w:firstLine="640"/>
        <w:rPr>
          <w:rFonts w:ascii="宋体" w:hAnsi="宋体"/>
          <w:sz w:val="32"/>
          <w:szCs w:val="32"/>
        </w:rPr>
      </w:pPr>
    </w:p>
    <w:p w14:paraId="651477AB" w14:textId="77777777" w:rsidR="0030333A" w:rsidRDefault="00000000">
      <w:pPr>
        <w:wordWrap w:val="0"/>
        <w:spacing w:before="60" w:after="60" w:line="480" w:lineRule="exact"/>
        <w:ind w:firstLine="640"/>
        <w:jc w:val="right"/>
        <w:rPr>
          <w:rFonts w:ascii="宋体" w:hAnsi="宋体"/>
          <w:sz w:val="32"/>
          <w:szCs w:val="32"/>
        </w:rPr>
      </w:pPr>
      <w:r>
        <w:rPr>
          <w:rFonts w:ascii="宋体" w:hAnsi="宋体" w:hint="eastAsia"/>
          <w:sz w:val="32"/>
          <w:szCs w:val="32"/>
        </w:rPr>
        <w:t xml:space="preserve">伊朗人民党  </w:t>
      </w:r>
    </w:p>
    <w:p w14:paraId="727AF71A" w14:textId="332376A7" w:rsidR="0030333A" w:rsidRDefault="00000000" w:rsidP="001F0B7A">
      <w:pPr>
        <w:spacing w:before="60" w:after="60" w:line="480" w:lineRule="exact"/>
        <w:ind w:firstLine="640"/>
        <w:jc w:val="right"/>
        <w:rPr>
          <w:rFonts w:ascii="黑体" w:eastAsia="黑体" w:hAnsi="黑体"/>
          <w:b/>
          <w:kern w:val="44"/>
          <w:sz w:val="36"/>
          <w:szCs w:val="36"/>
        </w:rPr>
      </w:pPr>
      <w:r>
        <w:rPr>
          <w:rFonts w:ascii="宋体" w:hAnsi="宋体" w:hint="eastAsia"/>
          <w:sz w:val="32"/>
          <w:szCs w:val="32"/>
        </w:rPr>
        <w:t>2024年3月3日</w:t>
      </w:r>
      <w:r>
        <w:rPr>
          <w:rFonts w:ascii="黑体" w:eastAsia="黑体" w:hAnsi="黑体"/>
          <w:szCs w:val="36"/>
        </w:rPr>
        <w:br w:type="page"/>
      </w:r>
    </w:p>
    <w:p w14:paraId="72669867" w14:textId="6DBF832C" w:rsidR="0030333A" w:rsidRDefault="00546B0C">
      <w:pPr>
        <w:pStyle w:val="1"/>
        <w:rPr>
          <w:rFonts w:ascii="黑体" w:eastAsia="黑体" w:hAnsi="黑体"/>
          <w:sz w:val="32"/>
          <w:szCs w:val="32"/>
        </w:rPr>
      </w:pPr>
      <w:bookmarkStart w:id="11" w:name="_Toc167524589"/>
      <w:r w:rsidRPr="00546B0C">
        <w:rPr>
          <w:rFonts w:ascii="黑体" w:eastAsia="黑体" w:hAnsi="黑体" w:hint="eastAsia"/>
          <w:szCs w:val="36"/>
        </w:rPr>
        <w:lastRenderedPageBreak/>
        <w:t>印共（毛）声援正在进行的农民运动</w:t>
      </w:r>
      <w:bookmarkEnd w:id="11"/>
    </w:p>
    <w:p w14:paraId="64F1A046" w14:textId="33B154C2" w:rsidR="0030333A" w:rsidRDefault="00546B0C">
      <w:pPr>
        <w:ind w:firstLineChars="0" w:firstLine="0"/>
        <w:jc w:val="center"/>
      </w:pPr>
      <w:r>
        <w:rPr>
          <w:noProof/>
        </w:rPr>
        <w:drawing>
          <wp:inline distT="0" distB="0" distL="0" distR="0" wp14:anchorId="350D6740" wp14:editId="501E0280">
            <wp:extent cx="2796974" cy="5175154"/>
            <wp:effectExtent l="0" t="0" r="0" b="0"/>
            <wp:docPr id="17954314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7328" cy="5268322"/>
                    </a:xfrm>
                    <a:prstGeom prst="rect">
                      <a:avLst/>
                    </a:prstGeom>
                    <a:noFill/>
                    <a:ln>
                      <a:noFill/>
                    </a:ln>
                  </pic:spPr>
                </pic:pic>
              </a:graphicData>
            </a:graphic>
          </wp:inline>
        </w:drawing>
      </w:r>
    </w:p>
    <w:p w14:paraId="7B3C5E16" w14:textId="77777777" w:rsidR="00546B0C" w:rsidRDefault="00546B0C" w:rsidP="00546B0C">
      <w:pPr>
        <w:spacing w:before="240" w:after="120" w:line="360" w:lineRule="exact"/>
        <w:ind w:firstLine="560"/>
        <w:jc w:val="left"/>
        <w:rPr>
          <w:rFonts w:ascii="Times New Roman" w:eastAsia="仿宋" w:hAnsi="Times New Roman" w:cs="Times New Roman"/>
          <w:szCs w:val="28"/>
        </w:rPr>
      </w:pPr>
      <w:r>
        <w:rPr>
          <w:rFonts w:ascii="Times New Roman" w:eastAsia="仿宋" w:hAnsi="Times New Roman" w:cs="Times New Roman"/>
          <w:szCs w:val="28"/>
        </w:rPr>
        <w:t>来源</w:t>
      </w:r>
      <w:r>
        <w:rPr>
          <w:rFonts w:ascii="Times New Roman" w:eastAsia="仿宋" w:hAnsi="Times New Roman" w:cs="Times New Roman" w:hint="eastAsia"/>
          <w:szCs w:val="28"/>
        </w:rPr>
        <w:t>：</w:t>
      </w:r>
      <w:bookmarkStart w:id="12" w:name="_Hlk166400950"/>
      <w:r>
        <w:rPr>
          <w:rFonts w:ascii="Times New Roman" w:eastAsia="仿宋" w:hAnsi="Times New Roman" w:cs="Times New Roman" w:hint="eastAsia"/>
          <w:szCs w:val="28"/>
        </w:rPr>
        <w:t>支持印度人民战争国际委员会网站</w:t>
      </w:r>
      <w:bookmarkEnd w:id="12"/>
    </w:p>
    <w:p w14:paraId="55F26CBA" w14:textId="77777777" w:rsidR="00546B0C" w:rsidRDefault="00546B0C" w:rsidP="00546B0C">
      <w:pPr>
        <w:spacing w:before="120" w:after="120" w:line="360" w:lineRule="exact"/>
        <w:ind w:firstLine="560"/>
        <w:jc w:val="left"/>
        <w:rPr>
          <w:rFonts w:ascii="Times New Roman" w:eastAsia="仿宋" w:hAnsi="Times New Roman" w:cs="Times New Roman"/>
          <w:szCs w:val="28"/>
        </w:rPr>
      </w:pPr>
      <w:r>
        <w:rPr>
          <w:rFonts w:ascii="Times New Roman" w:eastAsia="仿宋" w:hAnsi="Times New Roman" w:cs="Times New Roman" w:hint="eastAsia"/>
          <w:szCs w:val="28"/>
        </w:rPr>
        <w:t>日期</w:t>
      </w:r>
      <w:r>
        <w:rPr>
          <w:rFonts w:ascii="Times New Roman" w:eastAsia="仿宋" w:hAnsi="Times New Roman" w:cs="Times New Roman"/>
          <w:szCs w:val="28"/>
        </w:rPr>
        <w:t>：</w:t>
      </w:r>
      <w:r>
        <w:rPr>
          <w:rFonts w:ascii="Times New Roman" w:eastAsia="仿宋" w:hAnsi="Times New Roman" w:cs="Times New Roman"/>
          <w:szCs w:val="28"/>
        </w:rPr>
        <w:t>202</w:t>
      </w:r>
      <w:r>
        <w:rPr>
          <w:rFonts w:ascii="Times New Roman" w:eastAsia="仿宋" w:hAnsi="Times New Roman" w:cs="Times New Roman" w:hint="eastAsia"/>
          <w:szCs w:val="28"/>
        </w:rPr>
        <w:t>4</w:t>
      </w:r>
      <w:r>
        <w:rPr>
          <w:rFonts w:ascii="Times New Roman" w:eastAsia="仿宋" w:hAnsi="Times New Roman" w:cs="Times New Roman"/>
          <w:szCs w:val="28"/>
        </w:rPr>
        <w:t>年</w:t>
      </w:r>
      <w:r>
        <w:rPr>
          <w:rFonts w:ascii="Times New Roman" w:eastAsia="仿宋" w:hAnsi="Times New Roman" w:cs="Times New Roman" w:hint="eastAsia"/>
          <w:szCs w:val="28"/>
        </w:rPr>
        <w:t>3</w:t>
      </w:r>
      <w:r>
        <w:rPr>
          <w:rFonts w:ascii="Times New Roman" w:eastAsia="仿宋" w:hAnsi="Times New Roman" w:cs="Times New Roman"/>
          <w:szCs w:val="28"/>
        </w:rPr>
        <w:t>月</w:t>
      </w:r>
      <w:r>
        <w:rPr>
          <w:rFonts w:ascii="Times New Roman" w:eastAsia="仿宋" w:hAnsi="Times New Roman" w:cs="Times New Roman" w:hint="eastAsia"/>
          <w:szCs w:val="28"/>
        </w:rPr>
        <w:t>1</w:t>
      </w:r>
      <w:r>
        <w:rPr>
          <w:rFonts w:ascii="Times New Roman" w:eastAsia="仿宋" w:hAnsi="Times New Roman" w:cs="Times New Roman" w:hint="eastAsia"/>
          <w:szCs w:val="28"/>
        </w:rPr>
        <w:t>日</w:t>
      </w:r>
    </w:p>
    <w:p w14:paraId="5041EED1" w14:textId="77777777" w:rsidR="00546B0C" w:rsidRDefault="00546B0C" w:rsidP="00546B0C">
      <w:pPr>
        <w:spacing w:before="120" w:after="240" w:line="360" w:lineRule="exact"/>
        <w:ind w:firstLine="560"/>
        <w:jc w:val="left"/>
        <w:rPr>
          <w:rStyle w:val="afd"/>
          <w:rFonts w:ascii="Times New Roman" w:eastAsia="仿宋" w:hAnsi="Times New Roman" w:cs="Times New Roman"/>
          <w:szCs w:val="28"/>
        </w:rPr>
      </w:pPr>
      <w:r>
        <w:rPr>
          <w:rFonts w:ascii="Times New Roman" w:eastAsia="仿宋" w:hAnsi="Times New Roman" w:cs="Times New Roman" w:hint="eastAsia"/>
          <w:szCs w:val="28"/>
        </w:rPr>
        <w:t>链</w:t>
      </w:r>
      <w:r>
        <w:rPr>
          <w:rFonts w:ascii="Times New Roman" w:eastAsia="仿宋" w:hAnsi="Times New Roman" w:cs="Times New Roman"/>
          <w:szCs w:val="28"/>
        </w:rPr>
        <w:t>接</w:t>
      </w:r>
      <w:r>
        <w:rPr>
          <w:rFonts w:ascii="Times New Roman" w:eastAsia="仿宋" w:hAnsi="Times New Roman" w:cs="Times New Roman" w:hint="eastAsia"/>
          <w:szCs w:val="28"/>
        </w:rPr>
        <w:t>：</w:t>
      </w:r>
      <w:hyperlink r:id="rId22" w:history="1">
        <w:r w:rsidRPr="00F31FAA">
          <w:rPr>
            <w:rStyle w:val="afd"/>
            <w:rFonts w:ascii="Times New Roman" w:eastAsia="仿宋" w:hAnsi="Times New Roman" w:cs="Times New Roman"/>
            <w:szCs w:val="28"/>
          </w:rPr>
          <w:t>https://icspwindia.wordpress.com/2024/04/03/communist-party-of-india-maoist-expresses-its-solidarity-to-the-ongoing-farmers-movement/</w:t>
        </w:r>
      </w:hyperlink>
    </w:p>
    <w:p w14:paraId="1C000E3D" w14:textId="77777777" w:rsidR="00546B0C" w:rsidRPr="00546B0C" w:rsidRDefault="00546B0C" w:rsidP="00546B0C">
      <w:pPr>
        <w:spacing w:before="60" w:after="60" w:line="480" w:lineRule="exact"/>
        <w:ind w:firstLineChars="0" w:firstLine="0"/>
        <w:jc w:val="center"/>
        <w:rPr>
          <w:rFonts w:ascii="黑体" w:eastAsia="黑体" w:hAnsi="黑体"/>
          <w:sz w:val="32"/>
          <w:szCs w:val="32"/>
        </w:rPr>
      </w:pPr>
      <w:r w:rsidRPr="00546B0C">
        <w:rPr>
          <w:rFonts w:ascii="黑体" w:eastAsia="黑体" w:hAnsi="黑体" w:hint="eastAsia"/>
          <w:sz w:val="32"/>
          <w:szCs w:val="32"/>
        </w:rPr>
        <w:lastRenderedPageBreak/>
        <w:t>印度共产党（毛主义）中央委员会</w:t>
      </w:r>
    </w:p>
    <w:p w14:paraId="492EFB59" w14:textId="77777777" w:rsidR="00546B0C" w:rsidRPr="00546B0C" w:rsidRDefault="00546B0C" w:rsidP="00546B0C">
      <w:pPr>
        <w:spacing w:before="60" w:after="60" w:line="480" w:lineRule="exact"/>
        <w:ind w:firstLineChars="0" w:firstLine="0"/>
        <w:jc w:val="center"/>
        <w:rPr>
          <w:rFonts w:ascii="黑体" w:eastAsia="黑体" w:hAnsi="黑体"/>
          <w:sz w:val="32"/>
          <w:szCs w:val="32"/>
        </w:rPr>
      </w:pPr>
      <w:r w:rsidRPr="00546B0C">
        <w:rPr>
          <w:rFonts w:ascii="黑体" w:eastAsia="黑体" w:hAnsi="黑体" w:hint="eastAsia"/>
          <w:sz w:val="32"/>
          <w:szCs w:val="32"/>
        </w:rPr>
        <w:t>新闻声明（2024年3月1日）</w:t>
      </w:r>
    </w:p>
    <w:p w14:paraId="2A6D6039" w14:textId="77777777" w:rsidR="00546B0C" w:rsidRPr="00546B0C" w:rsidRDefault="00546B0C" w:rsidP="00546B0C">
      <w:pPr>
        <w:spacing w:before="60" w:after="60" w:line="480" w:lineRule="exact"/>
        <w:ind w:firstLineChars="0" w:firstLine="0"/>
        <w:jc w:val="center"/>
        <w:rPr>
          <w:rFonts w:ascii="黑体" w:eastAsia="黑体" w:hAnsi="黑体"/>
          <w:sz w:val="32"/>
          <w:szCs w:val="32"/>
        </w:rPr>
      </w:pPr>
      <w:r w:rsidRPr="00546B0C">
        <w:rPr>
          <w:rFonts w:ascii="黑体" w:eastAsia="黑体" w:hAnsi="黑体" w:hint="eastAsia"/>
          <w:sz w:val="32"/>
          <w:szCs w:val="32"/>
        </w:rPr>
        <w:t>继续并扩大斗争，直到要求得到满足</w:t>
      </w:r>
    </w:p>
    <w:p w14:paraId="41112AD9" w14:textId="503BD6F0"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印度共产党（毛主义）（Communist Party of India (Maoist)）中央委员会向联合农民力量（Samyukt Kisan Morcha）</w:t>
      </w:r>
      <w:r w:rsidR="00942F55">
        <w:rPr>
          <w:rStyle w:val="aff"/>
          <w:rFonts w:ascii="宋体" w:hAnsi="宋体"/>
          <w:sz w:val="32"/>
          <w:szCs w:val="32"/>
        </w:rPr>
        <w:footnoteReference w:customMarkFollows="1" w:id="2"/>
        <w:t>[1]</w:t>
      </w:r>
      <w:r w:rsidRPr="00546B0C">
        <w:rPr>
          <w:rFonts w:ascii="宋体" w:hAnsi="宋体" w:hint="eastAsia"/>
          <w:sz w:val="32"/>
          <w:szCs w:val="32"/>
        </w:rPr>
        <w:t>领导下正在进行的农民运动致以（非政治性的）声援。中央委员会同时谴责武装部队造成数百人受伤的可恶而残忍的行径，比如使用无人机发射催泪瓦斯或使用橡胶子弹和实弹。在警察镇压之下，许多人失明、失聪，两名农民丧生。</w:t>
      </w:r>
    </w:p>
    <w:p w14:paraId="4AA58CE4" w14:textId="77777777"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中央委员会指出，为阻止农民向德里进军而在哈里亚纳邦（Haryana）边境设置尖刺、钉子和路障的做法，不仅不民主，而且是一种恐怖主义行动。</w:t>
      </w:r>
    </w:p>
    <w:p w14:paraId="4C1ADA4C" w14:textId="0D41B02B"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中央委员会呼吁联合农民力量，坚持运动并将运动扩大到各邦，直到农民与农业工人的正当需求得到满足。莫迪领导下的印度人民党（BJP）中央政府正在尽一切努力分裂群众运动及其领导层，将</w:t>
      </w:r>
      <w:r w:rsidR="00F80262">
        <w:rPr>
          <w:rFonts w:ascii="宋体" w:hAnsi="宋体" w:hint="eastAsia"/>
          <w:sz w:val="32"/>
          <w:szCs w:val="32"/>
        </w:rPr>
        <w:t>它</w:t>
      </w:r>
      <w:r w:rsidRPr="00546B0C">
        <w:rPr>
          <w:rFonts w:ascii="宋体" w:hAnsi="宋体" w:hint="eastAsia"/>
          <w:sz w:val="32"/>
          <w:szCs w:val="32"/>
        </w:rPr>
        <w:t>与广大群众割裂开来以便粉碎它。在这种情况下，我党中央委员会呼吁联合农民力量采取措施，形成农民的统一战线，通过团结目前所有的农民联盟，在所有邦建立运动。</w:t>
      </w:r>
    </w:p>
    <w:p w14:paraId="3D357CC9" w14:textId="2B3675C4"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2月16日，联合农民力量和几个工会领导的农村和制造业的罢工取得了胜利，这表明我国人民意识到了农民和</w:t>
      </w:r>
      <w:r w:rsidRPr="00546B0C">
        <w:rPr>
          <w:rFonts w:ascii="宋体" w:hAnsi="宋体" w:hint="eastAsia"/>
          <w:sz w:val="32"/>
          <w:szCs w:val="32"/>
        </w:rPr>
        <w:lastRenderedPageBreak/>
        <w:t>工人的问题与需求。在这种情况下，我们党提请我国群众注意，目前农民和</w:t>
      </w:r>
      <w:bookmarkStart w:id="13" w:name="OLE_LINK1"/>
      <w:r w:rsidRPr="00546B0C">
        <w:rPr>
          <w:rFonts w:ascii="宋体" w:hAnsi="宋体" w:hint="eastAsia"/>
          <w:sz w:val="32"/>
          <w:szCs w:val="32"/>
        </w:rPr>
        <w:t>阿迪瓦西人</w:t>
      </w:r>
      <w:bookmarkEnd w:id="13"/>
      <w:r w:rsidRPr="00546B0C">
        <w:rPr>
          <w:rFonts w:ascii="宋体" w:hAnsi="宋体" w:hint="eastAsia"/>
          <w:sz w:val="32"/>
          <w:szCs w:val="32"/>
        </w:rPr>
        <w:t>（adivasi）</w:t>
      </w:r>
      <w:r w:rsidR="00942F55">
        <w:rPr>
          <w:rStyle w:val="aff"/>
          <w:rFonts w:ascii="宋体" w:hAnsi="宋体"/>
          <w:sz w:val="32"/>
          <w:szCs w:val="32"/>
        </w:rPr>
        <w:footnoteReference w:customMarkFollows="1" w:id="3"/>
        <w:t>[2]</w:t>
      </w:r>
      <w:r w:rsidRPr="00546B0C">
        <w:rPr>
          <w:rFonts w:ascii="宋体" w:hAnsi="宋体" w:hint="eastAsia"/>
          <w:sz w:val="32"/>
          <w:szCs w:val="32"/>
        </w:rPr>
        <w:t>的运动并不只是局限于他们自己的问题。这些运动也是争取保护我国财富和自然资源的运动。因此，我们党呼吁人民、民主人士、学生、青年、艺术家、作家和爱国力量，像2021年那样支持正在进行的农民运动。</w:t>
      </w:r>
    </w:p>
    <w:p w14:paraId="4801096E" w14:textId="579F613C"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事实上，纳伦德拉·莫迪的中央政府在2021年农民运动面前做出了让步，撤回了旨在破坏我国农业的三</w:t>
      </w:r>
      <w:r w:rsidR="00F80262">
        <w:rPr>
          <w:rFonts w:ascii="宋体" w:hAnsi="宋体" w:hint="eastAsia"/>
          <w:sz w:val="32"/>
          <w:szCs w:val="32"/>
        </w:rPr>
        <w:t>项</w:t>
      </w:r>
      <w:r w:rsidRPr="00546B0C">
        <w:rPr>
          <w:rFonts w:ascii="宋体" w:hAnsi="宋体" w:hint="eastAsia"/>
          <w:sz w:val="32"/>
          <w:szCs w:val="32"/>
        </w:rPr>
        <w:t>反人民、反民族的农民法案。当时莫迪政府还保证，将满足农民的所有要求。但在运动的两年后，莫迪政府并没有兑现承诺。</w:t>
      </w:r>
    </w:p>
    <w:p w14:paraId="6AD395B4" w14:textId="073D3F3D"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事实证明，莫迪承诺让农民收入翻倍，是一种廉价的骗人把戏。另一方面，农民的自杀事件并没有就此停止。印度人民党对一系列要求置之不理，这些要求包括：保证所有农作物的最低支持价格（MSP (Minimun Support Price)），撤销《电力修正案（2020年）》，免除农民的贷款，降低种子、化肥、农药和农业机械等农业投入品的价格，增加预算中的补助金，向在农民抗议活动中丧生的农民家属提供赔偿和政府岗位，将勒金布尔凯里县（Lakhimpur-Kheri）谋杀事件的罪犯绳之以法，终止在农业领域签订的所有国际协议，给农民和农业劳工提供5000</w:t>
      </w:r>
      <w:r w:rsidRPr="00546B0C">
        <w:rPr>
          <w:rFonts w:ascii="宋体" w:hAnsi="宋体" w:hint="eastAsia"/>
          <w:sz w:val="32"/>
          <w:szCs w:val="32"/>
        </w:rPr>
        <w:lastRenderedPageBreak/>
        <w:t>卢比的最低养老金，为《圣雄甘地全国农村就业保障法》（MNREGA）所覆盖的工人提供至少200天、每天700卢比的收入等。然而，在机场、采矿和工业基础设施项目的建设方面，土地征用的活动却十分猖獗。</w:t>
      </w:r>
      <w:r w:rsidR="00F80262">
        <w:rPr>
          <w:rFonts w:ascii="宋体" w:hAnsi="宋体" w:hint="eastAsia"/>
          <w:sz w:val="32"/>
          <w:szCs w:val="32"/>
        </w:rPr>
        <w:t>这清楚</w:t>
      </w:r>
      <w:r w:rsidRPr="00546B0C">
        <w:rPr>
          <w:rFonts w:ascii="宋体" w:hAnsi="宋体" w:hint="eastAsia"/>
          <w:sz w:val="32"/>
          <w:szCs w:val="32"/>
        </w:rPr>
        <w:t>地</w:t>
      </w:r>
      <w:r w:rsidR="00F80262">
        <w:rPr>
          <w:rFonts w:ascii="宋体" w:hAnsi="宋体" w:hint="eastAsia"/>
          <w:sz w:val="32"/>
          <w:szCs w:val="32"/>
        </w:rPr>
        <w:t>表明</w:t>
      </w:r>
      <w:r w:rsidRPr="00546B0C">
        <w:rPr>
          <w:rFonts w:ascii="宋体" w:hAnsi="宋体" w:hint="eastAsia"/>
          <w:sz w:val="32"/>
          <w:szCs w:val="32"/>
        </w:rPr>
        <w:t>，莫迪中央政府的承诺只是为了欺骗人民和转移人民的注意力。</w:t>
      </w:r>
    </w:p>
    <w:p w14:paraId="522304F0" w14:textId="77777777"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工人阶级通过历史斗争赢得的劳动法被废除，中央政府转而制定了四部亲资本主义的劳动法。在任何制造业部门都没有实施《最低工资法》（Minimum Wages Act），反倒是强制实行了每天12小时的工作日。争取自己权利的工人们遭到了资本主义暴徒的攻击，警察用电棍攻击工人并把他们抓进监狱。</w:t>
      </w:r>
    </w:p>
    <w:p w14:paraId="2481506B" w14:textId="5421E6FE"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依据《乡村自治委员会（扩展至</w:t>
      </w:r>
      <w:r w:rsidR="00942F55">
        <w:rPr>
          <w:rFonts w:ascii="宋体" w:hAnsi="宋体" w:hint="eastAsia"/>
          <w:sz w:val="32"/>
          <w:szCs w:val="32"/>
        </w:rPr>
        <w:t>表列</w:t>
      </w:r>
      <w:r w:rsidRPr="00546B0C">
        <w:rPr>
          <w:rFonts w:ascii="宋体" w:hAnsi="宋体" w:hint="eastAsia"/>
          <w:sz w:val="32"/>
          <w:szCs w:val="32"/>
        </w:rPr>
        <w:t>区域）规定》（PESA）的第五附表（5th Schedule），阿迪瓦西人拥有乡村自治权（Gram Sabha）。这是一种宪制权利，却遭到了莫迪政府的侵犯。《新森林保护（修正案）法案（2023年）》将阿迪瓦西人从他们的土地上赶走，它在本质上是反阿迪瓦西人的。此外，在恰蒂斯加尔邦、马哈拉施特拉邦、比哈尔邦、恰尔肯德邦、安得拉邦、特伦甘纳邦和奥里萨邦（Chhattisgarh, Maharashtra, Bihar, Jharkhand, Andhra Pradesh,Telangana and Odisha），阿迪瓦西人不止四年来争取土地-森林-水资源以及生存-自尊的权利的要求也没有得到满足。事实上，中央政府和各邦政府正在对这些抗议活动进行双重镇压。1月1日至2月25日，仅在丹德瓦达、比贾布尔、苏格马、坎克尔、纳拉延普尔和巴</w:t>
      </w:r>
      <w:r w:rsidRPr="00546B0C">
        <w:rPr>
          <w:rFonts w:ascii="宋体" w:hAnsi="宋体" w:hint="eastAsia"/>
          <w:sz w:val="32"/>
          <w:szCs w:val="32"/>
        </w:rPr>
        <w:lastRenderedPageBreak/>
        <w:t>斯塔（Dantewada, Bijapur, Sukma, Kanker, Narayanpur, Bastar）等县，就有17名阿迪瓦西农民在伪造的遭遇战（fake encounter）中被残忍杀害。针对妇女的暴行、残忍的殴打、非法的逮捕、长期的惩罚，在丹达卡冉亚（Dandakaryana (DK)）已成为家常便饭。在这个</w:t>
      </w:r>
      <w:r w:rsidR="00F80262">
        <w:rPr>
          <w:rFonts w:ascii="宋体" w:hAnsi="宋体" w:hint="eastAsia"/>
          <w:sz w:val="32"/>
          <w:szCs w:val="32"/>
        </w:rPr>
        <w:t>镇压</w:t>
      </w:r>
      <w:r w:rsidRPr="00546B0C">
        <w:rPr>
          <w:rFonts w:ascii="宋体" w:hAnsi="宋体" w:hint="eastAsia"/>
          <w:sz w:val="32"/>
          <w:szCs w:val="32"/>
        </w:rPr>
        <w:t>性的国家，在阿迪瓦西人斗争的地区，正在非常激烈地推行军事化。在过去五年中，莫迪政府建立了大约200个警察营和中央后备警察营。</w:t>
      </w:r>
    </w:p>
    <w:p w14:paraId="0FF6DB8F" w14:textId="33A77B30"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为青年提供就业机会的承诺不过是一个骗人的把戏。对达利特人（Dalits）</w:t>
      </w:r>
      <w:r w:rsidR="00942F55">
        <w:rPr>
          <w:rStyle w:val="aff"/>
          <w:rFonts w:ascii="宋体" w:hAnsi="宋体"/>
          <w:sz w:val="32"/>
          <w:szCs w:val="32"/>
        </w:rPr>
        <w:footnoteReference w:customMarkFollows="1" w:id="4"/>
        <w:t>[3]</w:t>
      </w:r>
      <w:r w:rsidRPr="00546B0C">
        <w:rPr>
          <w:rFonts w:ascii="宋体" w:hAnsi="宋体" w:hint="eastAsia"/>
          <w:sz w:val="32"/>
          <w:szCs w:val="32"/>
        </w:rPr>
        <w:t>和穆斯林的羞辱、攻击和暴行不断增加。莫迪政府无视全国各地反对《统一民法典》（UCC）和《公民身份修正法案》（CAA）的抗议活动，正在准备将它们付诸实施。</w:t>
      </w:r>
    </w:p>
    <w:p w14:paraId="0C51C9C1" w14:textId="07E35393"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纳伦德拉·莫迪关于在2047年前将印度变成“新印度”和“发达印度”的决议，实际上是要将印度变成本国和外国企业发展的中心，</w:t>
      </w:r>
      <w:r w:rsidR="00F80262">
        <w:rPr>
          <w:rFonts w:ascii="宋体" w:hAnsi="宋体" w:hint="eastAsia"/>
          <w:sz w:val="32"/>
          <w:szCs w:val="32"/>
        </w:rPr>
        <w:t>也就是</w:t>
      </w:r>
      <w:r w:rsidRPr="00546B0C">
        <w:rPr>
          <w:rFonts w:ascii="宋体" w:hAnsi="宋体" w:hint="eastAsia"/>
          <w:sz w:val="32"/>
          <w:szCs w:val="32"/>
        </w:rPr>
        <w:t>让印度成为企业掠夺的基地。此外，粉碎所有反对企业掠夺的声音，把印度变成婆罗门印度教国家（Brahmanic Hindu rashtra），也是国民志愿服务团-印度人民党（RSS-BJP）的动机。</w:t>
      </w:r>
    </w:p>
    <w:p w14:paraId="38B5AB8F" w14:textId="77777777"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必须记住，婆罗门印度教法西斯主义的国民志愿服务团-印度人民党的意识形态、政治、工作和历史，全部都是反对农民、工人、阿迪瓦西人、达利特人、妇女和少数民</w:t>
      </w:r>
      <w:r w:rsidRPr="00546B0C">
        <w:rPr>
          <w:rFonts w:ascii="宋体" w:hAnsi="宋体" w:hint="eastAsia"/>
          <w:sz w:val="32"/>
          <w:szCs w:val="32"/>
        </w:rPr>
        <w:lastRenderedPageBreak/>
        <w:t>族，尤其是穆斯林的。它与广大的各民族是对立的。国民志愿服务团-印度人民党与各民族的经济、文化、宗教和社会生活方式是对立的。它以“一个印度-大印度”（One India-Great India）的名义传播沙文主义，毫无节制地实施外国公司的政策。</w:t>
      </w:r>
    </w:p>
    <w:p w14:paraId="2C835A80" w14:textId="77777777" w:rsidR="00546B0C" w:rsidRPr="00546B0C" w:rsidRDefault="00546B0C" w:rsidP="00546B0C">
      <w:pPr>
        <w:spacing w:before="60" w:after="60" w:line="480" w:lineRule="exact"/>
        <w:ind w:firstLine="640"/>
        <w:rPr>
          <w:rFonts w:ascii="宋体" w:hAnsi="宋体"/>
          <w:sz w:val="32"/>
          <w:szCs w:val="32"/>
        </w:rPr>
      </w:pPr>
      <w:r w:rsidRPr="00546B0C">
        <w:rPr>
          <w:rFonts w:ascii="宋体" w:hAnsi="宋体" w:hint="eastAsia"/>
          <w:sz w:val="32"/>
          <w:szCs w:val="32"/>
        </w:rPr>
        <w:t>鉴于上述情况，我们党呼吁全国的农民、工人组织、农民联合组织、阿迪瓦西人、达利特人、妇女和宗教少数群体，尤其是穆斯林以及克什米尔地区以及东北地区的各民族，在问题和诉求的基础上团结起来，建立起广泛的运动，反对我国的主要危险——婆罗门印度教法西斯主义的印度人民党政府。</w:t>
      </w:r>
    </w:p>
    <w:p w14:paraId="4633BA44" w14:textId="77777777" w:rsidR="00546B0C" w:rsidRPr="00546B0C" w:rsidRDefault="00546B0C" w:rsidP="00546B0C">
      <w:pPr>
        <w:spacing w:before="60" w:after="60" w:line="480" w:lineRule="exact"/>
        <w:ind w:firstLine="640"/>
        <w:rPr>
          <w:rFonts w:ascii="宋体" w:hAnsi="宋体"/>
          <w:sz w:val="32"/>
          <w:szCs w:val="32"/>
        </w:rPr>
      </w:pPr>
    </w:p>
    <w:p w14:paraId="497D8D68" w14:textId="77777777" w:rsidR="00546B0C" w:rsidRPr="00546B0C" w:rsidRDefault="00546B0C" w:rsidP="00546B0C">
      <w:pPr>
        <w:spacing w:before="60" w:after="60" w:line="480" w:lineRule="exact"/>
        <w:ind w:firstLine="640"/>
        <w:jc w:val="right"/>
        <w:rPr>
          <w:rFonts w:ascii="宋体" w:hAnsi="宋体"/>
          <w:sz w:val="32"/>
          <w:szCs w:val="32"/>
        </w:rPr>
      </w:pPr>
      <w:r w:rsidRPr="00546B0C">
        <w:rPr>
          <w:rFonts w:ascii="宋体" w:hAnsi="宋体" w:hint="eastAsia"/>
          <w:sz w:val="32"/>
          <w:szCs w:val="32"/>
        </w:rPr>
        <w:t>中央委员会发言人</w:t>
      </w:r>
    </w:p>
    <w:p w14:paraId="2240DFF3" w14:textId="70A6AC4A" w:rsidR="00546B0C" w:rsidRPr="00546B0C" w:rsidRDefault="00546B0C" w:rsidP="00546B0C">
      <w:pPr>
        <w:spacing w:before="60" w:after="60" w:line="480" w:lineRule="exact"/>
        <w:ind w:firstLine="640"/>
        <w:jc w:val="right"/>
        <w:rPr>
          <w:rFonts w:ascii="宋体" w:hAnsi="宋体"/>
          <w:sz w:val="32"/>
          <w:szCs w:val="32"/>
        </w:rPr>
      </w:pPr>
      <w:r w:rsidRPr="00546B0C">
        <w:rPr>
          <w:rFonts w:ascii="宋体" w:hAnsi="宋体" w:hint="eastAsia"/>
          <w:sz w:val="32"/>
          <w:szCs w:val="32"/>
        </w:rPr>
        <w:t>阿布依（Abhay）</w:t>
      </w:r>
      <w:bookmarkEnd w:id="2"/>
      <w:bookmarkEnd w:id="3"/>
      <w:bookmarkEnd w:id="4"/>
      <w:bookmarkEnd w:id="5"/>
      <w:bookmarkEnd w:id="6"/>
    </w:p>
    <w:sectPr w:rsidR="00546B0C" w:rsidRPr="00546B0C">
      <w:footerReference w:type="default" r:id="rId23"/>
      <w:footnotePr>
        <w:numRestart w:val="eachSect"/>
      </w:footnotePr>
      <w:type w:val="continuous"/>
      <w:pgSz w:w="10318" w:h="14570"/>
      <w:pgMar w:top="1440" w:right="1077" w:bottom="1440" w:left="107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09EDE" w14:textId="77777777" w:rsidR="00D543E5" w:rsidRDefault="00D543E5">
      <w:pPr>
        <w:spacing w:line="240" w:lineRule="auto"/>
        <w:ind w:firstLine="560"/>
      </w:pPr>
      <w:r>
        <w:separator/>
      </w:r>
    </w:p>
    <w:p w14:paraId="3A2B6D8F" w14:textId="77777777" w:rsidR="00D543E5" w:rsidRDefault="00D543E5">
      <w:pPr>
        <w:ind w:firstLine="560"/>
      </w:pPr>
    </w:p>
    <w:p w14:paraId="2F16E8A8" w14:textId="77777777" w:rsidR="00D543E5" w:rsidRDefault="00D543E5" w:rsidP="00942F55">
      <w:pPr>
        <w:ind w:firstLine="560"/>
      </w:pPr>
    </w:p>
    <w:p w14:paraId="1CE8497A" w14:textId="77777777" w:rsidR="00D543E5" w:rsidRDefault="00D543E5" w:rsidP="00724580">
      <w:pPr>
        <w:ind w:firstLine="560"/>
      </w:pPr>
    </w:p>
    <w:p w14:paraId="16579BFF" w14:textId="77777777" w:rsidR="00D543E5" w:rsidRDefault="00D543E5" w:rsidP="00724580">
      <w:pPr>
        <w:ind w:firstLine="560"/>
      </w:pPr>
    </w:p>
    <w:p w14:paraId="3A0854D6" w14:textId="77777777" w:rsidR="00D543E5" w:rsidRDefault="00D543E5" w:rsidP="00724580">
      <w:pPr>
        <w:ind w:firstLine="560"/>
      </w:pPr>
    </w:p>
  </w:endnote>
  <w:endnote w:type="continuationSeparator" w:id="0">
    <w:p w14:paraId="07DBD931" w14:textId="77777777" w:rsidR="00D543E5" w:rsidRDefault="00D543E5">
      <w:pPr>
        <w:spacing w:line="240" w:lineRule="auto"/>
        <w:ind w:firstLine="560"/>
      </w:pPr>
      <w:r>
        <w:continuationSeparator/>
      </w:r>
    </w:p>
    <w:p w14:paraId="1827EC45" w14:textId="77777777" w:rsidR="00D543E5" w:rsidRDefault="00D543E5">
      <w:pPr>
        <w:ind w:firstLine="560"/>
      </w:pPr>
    </w:p>
    <w:p w14:paraId="4E9FC0C6" w14:textId="77777777" w:rsidR="00D543E5" w:rsidRDefault="00D543E5" w:rsidP="00942F55">
      <w:pPr>
        <w:ind w:firstLine="560"/>
      </w:pPr>
    </w:p>
    <w:p w14:paraId="61B33E20" w14:textId="77777777" w:rsidR="00D543E5" w:rsidRDefault="00D543E5" w:rsidP="00724580">
      <w:pPr>
        <w:ind w:firstLine="560"/>
      </w:pPr>
    </w:p>
    <w:p w14:paraId="3463356E" w14:textId="77777777" w:rsidR="00D543E5" w:rsidRDefault="00D543E5" w:rsidP="00724580">
      <w:pPr>
        <w:ind w:firstLine="560"/>
      </w:pPr>
    </w:p>
    <w:p w14:paraId="5D0594B3" w14:textId="77777777" w:rsidR="00D543E5" w:rsidRDefault="00D543E5" w:rsidP="00724580">
      <w:pPr>
        <w:ind w:firstLine="5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inionPro-Regular">
    <w:altName w:val="Cambria"/>
    <w:charset w:val="00"/>
    <w:family w:val="roman"/>
    <w:pitch w:val="default"/>
  </w:font>
  <w:font w:name="MS Reference Sans Serif">
    <w:panose1 w:val="020B0604030504040204"/>
    <w:charset w:val="00"/>
    <w:family w:val="swiss"/>
    <w:pitch w:val="variable"/>
    <w:sig w:usb0="20000287" w:usb1="00000000"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F443" w14:textId="77777777" w:rsidR="0030333A" w:rsidRDefault="0030333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3D88" w14:textId="6E0FD941" w:rsidR="0030333A" w:rsidRDefault="0030333A">
    <w:pPr>
      <w:pStyle w:val="ad"/>
      <w:ind w:firstLineChars="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931D3" w14:textId="77777777" w:rsidR="0030333A" w:rsidRDefault="0030333A">
    <w:pPr>
      <w:pStyle w:val="a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D822" w14:textId="4C0DB137" w:rsidR="00573211" w:rsidRDefault="00000000" w:rsidP="00724580">
    <w:pPr>
      <w:pStyle w:val="ad"/>
      <w:spacing w:line="240" w:lineRule="auto"/>
      <w:ind w:firstLineChars="0" w:firstLine="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233AC" w14:textId="77777777" w:rsidR="00D543E5" w:rsidRDefault="00D543E5">
      <w:pPr>
        <w:ind w:firstLine="560"/>
      </w:pPr>
      <w:r>
        <w:separator/>
      </w:r>
    </w:p>
  </w:footnote>
  <w:footnote w:type="continuationSeparator" w:id="0">
    <w:p w14:paraId="785C4BA8" w14:textId="77777777" w:rsidR="00D543E5" w:rsidRDefault="00D543E5">
      <w:pPr>
        <w:ind w:firstLine="560"/>
      </w:pPr>
      <w:r>
        <w:continuationSeparator/>
      </w:r>
    </w:p>
    <w:p w14:paraId="07CF6D23" w14:textId="77777777" w:rsidR="00D543E5" w:rsidRDefault="00D543E5">
      <w:pPr>
        <w:ind w:firstLine="560"/>
      </w:pPr>
    </w:p>
    <w:p w14:paraId="3B9A89FE" w14:textId="77777777" w:rsidR="00D543E5" w:rsidRDefault="00D543E5" w:rsidP="00942F55">
      <w:pPr>
        <w:ind w:firstLine="560"/>
      </w:pPr>
    </w:p>
    <w:p w14:paraId="32ACAA8B" w14:textId="77777777" w:rsidR="00D543E5" w:rsidRDefault="00D543E5" w:rsidP="00724580">
      <w:pPr>
        <w:ind w:firstLine="560"/>
      </w:pPr>
    </w:p>
    <w:p w14:paraId="25176519" w14:textId="77777777" w:rsidR="00D543E5" w:rsidRDefault="00D543E5" w:rsidP="00724580">
      <w:pPr>
        <w:ind w:firstLine="560"/>
      </w:pPr>
    </w:p>
    <w:p w14:paraId="0D8E3851" w14:textId="77777777" w:rsidR="00D543E5" w:rsidRDefault="00D543E5" w:rsidP="00724580">
      <w:pPr>
        <w:ind w:firstLine="560"/>
      </w:pPr>
    </w:p>
  </w:footnote>
  <w:footnote w:id="1">
    <w:p w14:paraId="4D081F43" w14:textId="77777777" w:rsidR="0030333A" w:rsidRDefault="00000000">
      <w:pPr>
        <w:pStyle w:val="af3"/>
        <w:ind w:firstLine="420"/>
      </w:pPr>
      <w:r>
        <w:rPr>
          <w:rStyle w:val="aff"/>
        </w:rPr>
        <w:t>[1]</w:t>
      </w:r>
      <w:r>
        <w:t xml:space="preserve"> </w:t>
      </w:r>
      <w:r>
        <w:rPr>
          <w:rFonts w:hint="eastAsia"/>
        </w:rPr>
        <w:t>《激进者》是希腊共产党中央委员会的机关报。——译注</w:t>
      </w:r>
    </w:p>
  </w:footnote>
  <w:footnote w:id="2">
    <w:p w14:paraId="22B192A0" w14:textId="1974B9FD" w:rsidR="00942F55" w:rsidRPr="00942F55" w:rsidRDefault="00942F55">
      <w:pPr>
        <w:pStyle w:val="af3"/>
        <w:ind w:firstLine="420"/>
      </w:pPr>
      <w:r>
        <w:rPr>
          <w:rStyle w:val="aff"/>
        </w:rPr>
        <w:t>[1]</w:t>
      </w:r>
      <w:r>
        <w:t xml:space="preserve"> </w:t>
      </w:r>
      <w:r>
        <w:rPr>
          <w:rFonts w:hint="eastAsia"/>
        </w:rPr>
        <w:t>成立于</w:t>
      </w:r>
      <w:r>
        <w:rPr>
          <w:rFonts w:hint="eastAsia"/>
        </w:rPr>
        <w:t>2020</w:t>
      </w:r>
      <w:r>
        <w:rPr>
          <w:rFonts w:hint="eastAsia"/>
        </w:rPr>
        <w:t>年</w:t>
      </w:r>
      <w:r>
        <w:rPr>
          <w:rFonts w:hint="eastAsia"/>
        </w:rPr>
        <w:t>11</w:t>
      </w:r>
      <w:r>
        <w:rPr>
          <w:rFonts w:hint="eastAsia"/>
        </w:rPr>
        <w:t>月，由印度超过</w:t>
      </w:r>
      <w:r>
        <w:rPr>
          <w:rFonts w:hint="eastAsia"/>
        </w:rPr>
        <w:t>40</w:t>
      </w:r>
      <w:r>
        <w:rPr>
          <w:rFonts w:hint="eastAsia"/>
        </w:rPr>
        <w:t>个农民联盟组成。——译注</w:t>
      </w:r>
    </w:p>
  </w:footnote>
  <w:footnote w:id="3">
    <w:p w14:paraId="6350A13D" w14:textId="76F29206" w:rsidR="00942F55" w:rsidRPr="00942F55" w:rsidRDefault="00942F55">
      <w:pPr>
        <w:pStyle w:val="af3"/>
        <w:ind w:firstLine="420"/>
      </w:pPr>
      <w:r>
        <w:rPr>
          <w:rStyle w:val="aff"/>
        </w:rPr>
        <w:t>[2]</w:t>
      </w:r>
      <w:r>
        <w:t xml:space="preserve"> </w:t>
      </w:r>
      <w:r w:rsidRPr="00942F55">
        <w:rPr>
          <w:rFonts w:hint="eastAsia"/>
        </w:rPr>
        <w:t>印度东部、中部、西部和南部的部落民，人口约</w:t>
      </w:r>
      <w:r w:rsidRPr="00942F55">
        <w:rPr>
          <w:rFonts w:hint="eastAsia"/>
        </w:rPr>
        <w:t>1.042</w:t>
      </w:r>
      <w:r w:rsidRPr="00942F55">
        <w:rPr>
          <w:rFonts w:hint="eastAsia"/>
        </w:rPr>
        <w:t>亿，约占全国人口的</w:t>
      </w:r>
      <w:r w:rsidRPr="00942F55">
        <w:rPr>
          <w:rFonts w:hint="eastAsia"/>
        </w:rPr>
        <w:t>8.6%</w:t>
      </w:r>
      <w:r w:rsidRPr="00942F55">
        <w:rPr>
          <w:rFonts w:hint="eastAsia"/>
        </w:rPr>
        <w:t>。——译注</w:t>
      </w:r>
    </w:p>
  </w:footnote>
  <w:footnote w:id="4">
    <w:p w14:paraId="2956B6AB" w14:textId="5804982D" w:rsidR="00942F55" w:rsidRDefault="00942F55">
      <w:pPr>
        <w:pStyle w:val="af3"/>
        <w:ind w:firstLine="420"/>
      </w:pPr>
      <w:r>
        <w:rPr>
          <w:rStyle w:val="aff"/>
        </w:rPr>
        <w:t>[3]</w:t>
      </w:r>
      <w:r>
        <w:t xml:space="preserve"> </w:t>
      </w:r>
      <w:r w:rsidRPr="00942F55">
        <w:rPr>
          <w:rFonts w:hint="eastAsia"/>
        </w:rPr>
        <w:t>南亚地区种姓制度的最低阶层，在印度约有</w:t>
      </w:r>
      <w:r w:rsidRPr="00942F55">
        <w:rPr>
          <w:rFonts w:hint="eastAsia"/>
        </w:rPr>
        <w:t>2.3</w:t>
      </w:r>
      <w:r w:rsidRPr="00942F55">
        <w:rPr>
          <w:rFonts w:hint="eastAsia"/>
        </w:rPr>
        <w:t>亿人。——译注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98AE" w14:textId="77777777" w:rsidR="0030333A" w:rsidRDefault="0030333A">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23B1" w14:textId="77777777" w:rsidR="0030333A" w:rsidRDefault="0030333A">
    <w:pPr>
      <w:pStyle w:val="af"/>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6800" w14:textId="77777777" w:rsidR="0030333A" w:rsidRDefault="0030333A">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bordersDoNotSurroundHeader/>
  <w:bordersDoNotSurroundFooter/>
  <w:defaultTabStop w:val="420"/>
  <w:drawingGridHorizontalSpacing w:val="140"/>
  <w:drawingGridVerticalSpacing w:val="381"/>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WIzN2Y2NWQ0MTgzNjdiZGNkMjk3NWYyYzBjNjkzZDIifQ=="/>
  </w:docVars>
  <w:rsids>
    <w:rsidRoot w:val="00C7144A"/>
    <w:rsid w:val="000029E7"/>
    <w:rsid w:val="0003546D"/>
    <w:rsid w:val="00051F50"/>
    <w:rsid w:val="000643E3"/>
    <w:rsid w:val="00066522"/>
    <w:rsid w:val="0008287D"/>
    <w:rsid w:val="00086075"/>
    <w:rsid w:val="000A5AF9"/>
    <w:rsid w:val="000B3D1F"/>
    <w:rsid w:val="000B7BF6"/>
    <w:rsid w:val="000C5058"/>
    <w:rsid w:val="000C7952"/>
    <w:rsid w:val="000D5CED"/>
    <w:rsid w:val="000E2FED"/>
    <w:rsid w:val="000E33A1"/>
    <w:rsid w:val="000E5586"/>
    <w:rsid w:val="000F5B70"/>
    <w:rsid w:val="00111A6B"/>
    <w:rsid w:val="0011663F"/>
    <w:rsid w:val="00135BC6"/>
    <w:rsid w:val="00146C1C"/>
    <w:rsid w:val="001474EA"/>
    <w:rsid w:val="00151B5B"/>
    <w:rsid w:val="00153835"/>
    <w:rsid w:val="001A055E"/>
    <w:rsid w:val="001C666B"/>
    <w:rsid w:val="001D43E1"/>
    <w:rsid w:val="001E4C8D"/>
    <w:rsid w:val="001F0B7A"/>
    <w:rsid w:val="001F6F90"/>
    <w:rsid w:val="0021342E"/>
    <w:rsid w:val="00246513"/>
    <w:rsid w:val="002575E2"/>
    <w:rsid w:val="002867CE"/>
    <w:rsid w:val="002A67D9"/>
    <w:rsid w:val="002C4F42"/>
    <w:rsid w:val="002F1B79"/>
    <w:rsid w:val="0030333A"/>
    <w:rsid w:val="00312B9C"/>
    <w:rsid w:val="00331E96"/>
    <w:rsid w:val="003A0501"/>
    <w:rsid w:val="003D2C81"/>
    <w:rsid w:val="00416DC4"/>
    <w:rsid w:val="0042137E"/>
    <w:rsid w:val="00445C54"/>
    <w:rsid w:val="004842B7"/>
    <w:rsid w:val="00494EC1"/>
    <w:rsid w:val="004F1232"/>
    <w:rsid w:val="00517EA5"/>
    <w:rsid w:val="005330F0"/>
    <w:rsid w:val="005363EB"/>
    <w:rsid w:val="00546B0C"/>
    <w:rsid w:val="00552751"/>
    <w:rsid w:val="00573211"/>
    <w:rsid w:val="00592EAB"/>
    <w:rsid w:val="005D70E5"/>
    <w:rsid w:val="005E2A32"/>
    <w:rsid w:val="00600D07"/>
    <w:rsid w:val="006206F0"/>
    <w:rsid w:val="0062177E"/>
    <w:rsid w:val="00643E5C"/>
    <w:rsid w:val="00680FB9"/>
    <w:rsid w:val="006955D0"/>
    <w:rsid w:val="006A7565"/>
    <w:rsid w:val="006D46FA"/>
    <w:rsid w:val="006D499D"/>
    <w:rsid w:val="00703943"/>
    <w:rsid w:val="00705B53"/>
    <w:rsid w:val="00724580"/>
    <w:rsid w:val="007278D1"/>
    <w:rsid w:val="007470A2"/>
    <w:rsid w:val="00794DCB"/>
    <w:rsid w:val="007A655B"/>
    <w:rsid w:val="007B0CB7"/>
    <w:rsid w:val="007B6257"/>
    <w:rsid w:val="007E4C90"/>
    <w:rsid w:val="008028FB"/>
    <w:rsid w:val="00811E19"/>
    <w:rsid w:val="0082593B"/>
    <w:rsid w:val="0087561B"/>
    <w:rsid w:val="0089056D"/>
    <w:rsid w:val="008B6C23"/>
    <w:rsid w:val="008D1A67"/>
    <w:rsid w:val="008D4E7E"/>
    <w:rsid w:val="008F218F"/>
    <w:rsid w:val="008F7150"/>
    <w:rsid w:val="00911F2D"/>
    <w:rsid w:val="00915C9F"/>
    <w:rsid w:val="00934F02"/>
    <w:rsid w:val="00942F55"/>
    <w:rsid w:val="00976986"/>
    <w:rsid w:val="00984B17"/>
    <w:rsid w:val="00984B21"/>
    <w:rsid w:val="009A0A91"/>
    <w:rsid w:val="009B2E64"/>
    <w:rsid w:val="009B5582"/>
    <w:rsid w:val="009D60B6"/>
    <w:rsid w:val="009F47B1"/>
    <w:rsid w:val="00A35DBF"/>
    <w:rsid w:val="00A430FB"/>
    <w:rsid w:val="00A555CB"/>
    <w:rsid w:val="00A719F3"/>
    <w:rsid w:val="00AC19B0"/>
    <w:rsid w:val="00B344CB"/>
    <w:rsid w:val="00B47846"/>
    <w:rsid w:val="00B715FB"/>
    <w:rsid w:val="00B83785"/>
    <w:rsid w:val="00BA32CA"/>
    <w:rsid w:val="00BB0040"/>
    <w:rsid w:val="00BB2BD9"/>
    <w:rsid w:val="00BB3B85"/>
    <w:rsid w:val="00BB6D7C"/>
    <w:rsid w:val="00BC1C08"/>
    <w:rsid w:val="00BD270E"/>
    <w:rsid w:val="00BF0128"/>
    <w:rsid w:val="00C07B1B"/>
    <w:rsid w:val="00C23B8E"/>
    <w:rsid w:val="00C31061"/>
    <w:rsid w:val="00C3496E"/>
    <w:rsid w:val="00C4392D"/>
    <w:rsid w:val="00C44E3D"/>
    <w:rsid w:val="00C540EE"/>
    <w:rsid w:val="00C7144A"/>
    <w:rsid w:val="00C94177"/>
    <w:rsid w:val="00CA1E71"/>
    <w:rsid w:val="00CB4473"/>
    <w:rsid w:val="00CB5AC4"/>
    <w:rsid w:val="00CD06B9"/>
    <w:rsid w:val="00CE0D13"/>
    <w:rsid w:val="00CF0F07"/>
    <w:rsid w:val="00D07EF4"/>
    <w:rsid w:val="00D23411"/>
    <w:rsid w:val="00D4006F"/>
    <w:rsid w:val="00D543E5"/>
    <w:rsid w:val="00D545C7"/>
    <w:rsid w:val="00D71EDF"/>
    <w:rsid w:val="00D77FFE"/>
    <w:rsid w:val="00DA206C"/>
    <w:rsid w:val="00DA2398"/>
    <w:rsid w:val="00DA3617"/>
    <w:rsid w:val="00DC26F7"/>
    <w:rsid w:val="00DC7A3C"/>
    <w:rsid w:val="00DF6093"/>
    <w:rsid w:val="00E31241"/>
    <w:rsid w:val="00E52C28"/>
    <w:rsid w:val="00E52E2A"/>
    <w:rsid w:val="00E53EAD"/>
    <w:rsid w:val="00E712FC"/>
    <w:rsid w:val="00E7278F"/>
    <w:rsid w:val="00E82E87"/>
    <w:rsid w:val="00E92EF9"/>
    <w:rsid w:val="00EA75DF"/>
    <w:rsid w:val="00EF6525"/>
    <w:rsid w:val="00F02F98"/>
    <w:rsid w:val="00F16C6A"/>
    <w:rsid w:val="00F43375"/>
    <w:rsid w:val="00F52302"/>
    <w:rsid w:val="00F70F02"/>
    <w:rsid w:val="00F712EE"/>
    <w:rsid w:val="00F80262"/>
    <w:rsid w:val="00F839CB"/>
    <w:rsid w:val="00FA6B06"/>
    <w:rsid w:val="00FD6184"/>
    <w:rsid w:val="00FE3AEC"/>
    <w:rsid w:val="02C75EC4"/>
    <w:rsid w:val="037C7496"/>
    <w:rsid w:val="0822685D"/>
    <w:rsid w:val="1B0A01F4"/>
    <w:rsid w:val="1DD96C59"/>
    <w:rsid w:val="278E7F57"/>
    <w:rsid w:val="3A1A0B34"/>
    <w:rsid w:val="3CE05CC9"/>
    <w:rsid w:val="3F305509"/>
    <w:rsid w:val="435E27D5"/>
    <w:rsid w:val="44222AED"/>
    <w:rsid w:val="476D407A"/>
    <w:rsid w:val="4FF00766"/>
    <w:rsid w:val="5A9B466B"/>
    <w:rsid w:val="5ACB589F"/>
    <w:rsid w:val="5B1B04E8"/>
    <w:rsid w:val="5BE16675"/>
    <w:rsid w:val="63C174FE"/>
    <w:rsid w:val="68D763DC"/>
    <w:rsid w:val="6A8C64C9"/>
    <w:rsid w:val="6D6E6F93"/>
    <w:rsid w:val="70CD3364"/>
    <w:rsid w:val="766D7AAF"/>
    <w:rsid w:val="7BCA58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3B35B"/>
  <w15:docId w15:val="{6B268FCB-945D-4597-AAE4-32A0E80B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288" w:lineRule="auto"/>
      <w:ind w:firstLineChars="200" w:firstLine="723"/>
      <w:jc w:val="both"/>
    </w:pPr>
    <w:rPr>
      <w:rFonts w:ascii="Calibri" w:hAnsi="Calibri" w:cs="宋体"/>
      <w:kern w:val="2"/>
      <w:sz w:val="28"/>
      <w:szCs w:val="24"/>
    </w:rPr>
  </w:style>
  <w:style w:type="paragraph" w:styleId="1">
    <w:name w:val="heading 1"/>
    <w:basedOn w:val="a"/>
    <w:next w:val="a"/>
    <w:link w:val="10"/>
    <w:autoRedefine/>
    <w:uiPriority w:val="9"/>
    <w:qFormat/>
    <w:pPr>
      <w:keepNext/>
      <w:keepLines/>
      <w:spacing w:before="200" w:after="200" w:line="15" w:lineRule="auto"/>
      <w:ind w:firstLineChars="0" w:firstLine="0"/>
      <w:jc w:val="center"/>
      <w:outlineLvl w:val="0"/>
    </w:pPr>
    <w:rPr>
      <w:b/>
      <w:kern w:val="44"/>
      <w:sz w:val="36"/>
    </w:rPr>
  </w:style>
  <w:style w:type="paragraph" w:styleId="2">
    <w:name w:val="heading 2"/>
    <w:basedOn w:val="a"/>
    <w:next w:val="a"/>
    <w:link w:val="20"/>
    <w:autoRedefine/>
    <w:uiPriority w:val="9"/>
    <w:semiHidden/>
    <w:unhideWhenUsed/>
    <w:qFormat/>
    <w:pPr>
      <w:keepNext/>
      <w:keepLines/>
      <w:spacing w:before="260" w:after="260" w:line="413" w:lineRule="auto"/>
      <w:ind w:firstLineChars="0" w:firstLine="0"/>
      <w:jc w:val="center"/>
      <w:outlineLvl w:val="1"/>
    </w:pPr>
    <w:rPr>
      <w:rFonts w:ascii="Arial" w:eastAsia="黑体" w:hAnsi="Arial"/>
      <w:b/>
      <w:sz w:val="30"/>
    </w:rPr>
  </w:style>
  <w:style w:type="paragraph" w:styleId="3">
    <w:name w:val="heading 3"/>
    <w:basedOn w:val="a"/>
    <w:next w:val="a"/>
    <w:autoRedefine/>
    <w:uiPriority w:val="9"/>
    <w:semiHidden/>
    <w:unhideWhenUsed/>
    <w:qFormat/>
    <w:pPr>
      <w:keepNext/>
      <w:keepLines/>
      <w:spacing w:before="260" w:after="260"/>
      <w:ind w:firstLineChars="0" w:firstLine="0"/>
      <w:jc w:val="lef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qFormat/>
    <w:rPr>
      <w:rFonts w:ascii="宋体"/>
      <w:sz w:val="18"/>
      <w:szCs w:val="18"/>
    </w:rPr>
  </w:style>
  <w:style w:type="paragraph" w:styleId="a5">
    <w:name w:val="annotation text"/>
    <w:basedOn w:val="a"/>
    <w:link w:val="a6"/>
    <w:autoRedefine/>
    <w:uiPriority w:val="99"/>
    <w:qFormat/>
    <w:pPr>
      <w:spacing w:line="240" w:lineRule="auto"/>
      <w:ind w:firstLineChars="0" w:firstLine="0"/>
      <w:jc w:val="left"/>
    </w:pPr>
    <w:rPr>
      <w:rFonts w:cs="Arial"/>
      <w:sz w:val="21"/>
      <w:szCs w:val="22"/>
    </w:rPr>
  </w:style>
  <w:style w:type="paragraph" w:styleId="a7">
    <w:name w:val="Date"/>
    <w:basedOn w:val="a"/>
    <w:next w:val="a"/>
    <w:link w:val="a8"/>
    <w:autoRedefine/>
    <w:uiPriority w:val="99"/>
    <w:qFormat/>
    <w:pPr>
      <w:ind w:leftChars="2500" w:left="100"/>
      <w:jc w:val="right"/>
    </w:pPr>
    <w:rPr>
      <w:rFonts w:eastAsia="仿宋"/>
      <w:sz w:val="24"/>
    </w:rPr>
  </w:style>
  <w:style w:type="paragraph" w:styleId="a9">
    <w:name w:val="endnote text"/>
    <w:basedOn w:val="a"/>
    <w:link w:val="aa"/>
    <w:autoRedefine/>
    <w:uiPriority w:val="99"/>
    <w:qFormat/>
    <w:pPr>
      <w:snapToGrid w:val="0"/>
      <w:jc w:val="left"/>
    </w:pPr>
  </w:style>
  <w:style w:type="paragraph" w:styleId="ab">
    <w:name w:val="Balloon Text"/>
    <w:basedOn w:val="a"/>
    <w:link w:val="ac"/>
    <w:autoRedefine/>
    <w:uiPriority w:val="99"/>
    <w:qFormat/>
    <w:pPr>
      <w:spacing w:line="240" w:lineRule="auto"/>
    </w:pPr>
    <w:rPr>
      <w:sz w:val="18"/>
      <w:szCs w:val="18"/>
    </w:rPr>
  </w:style>
  <w:style w:type="paragraph" w:styleId="ad">
    <w:name w:val="footer"/>
    <w:basedOn w:val="a"/>
    <w:link w:val="ae"/>
    <w:autoRedefine/>
    <w:uiPriority w:val="99"/>
    <w:qFormat/>
    <w:pPr>
      <w:tabs>
        <w:tab w:val="center" w:pos="4153"/>
        <w:tab w:val="right" w:pos="8306"/>
      </w:tabs>
      <w:snapToGrid w:val="0"/>
    </w:pPr>
    <w:rPr>
      <w:sz w:val="18"/>
    </w:rPr>
  </w:style>
  <w:style w:type="paragraph" w:styleId="af">
    <w:name w:val="header"/>
    <w:basedOn w:val="a"/>
    <w:link w:val="af0"/>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autoRedefine/>
    <w:uiPriority w:val="39"/>
    <w:qFormat/>
    <w:pPr>
      <w:tabs>
        <w:tab w:val="right" w:leader="dot" w:pos="8148"/>
      </w:tabs>
      <w:ind w:leftChars="100" w:left="280" w:firstLineChars="0" w:firstLine="0"/>
    </w:pPr>
    <w:rPr>
      <w:rFonts w:ascii="黑体" w:eastAsia="黑体" w:hAnsi="黑体"/>
      <w:w w:val="80"/>
      <w:sz w:val="32"/>
      <w:szCs w:val="32"/>
    </w:rPr>
  </w:style>
  <w:style w:type="paragraph" w:styleId="af1">
    <w:name w:val="Subtitle"/>
    <w:basedOn w:val="a"/>
    <w:next w:val="a"/>
    <w:link w:val="af2"/>
    <w:autoRedefine/>
    <w:uiPriority w:val="11"/>
    <w:qFormat/>
    <w:pPr>
      <w:spacing w:before="240" w:after="60" w:line="312" w:lineRule="auto"/>
      <w:ind w:firstLineChars="0" w:firstLine="0"/>
      <w:jc w:val="center"/>
      <w:outlineLvl w:val="1"/>
    </w:pPr>
    <w:rPr>
      <w:rFonts w:ascii="Cambria" w:hAnsi="Cambria"/>
      <w:b/>
      <w:bCs/>
      <w:kern w:val="28"/>
      <w:sz w:val="32"/>
      <w:szCs w:val="32"/>
    </w:rPr>
  </w:style>
  <w:style w:type="paragraph" w:styleId="af3">
    <w:name w:val="footnote text"/>
    <w:basedOn w:val="a"/>
    <w:link w:val="af4"/>
    <w:autoRedefine/>
    <w:uiPriority w:val="99"/>
    <w:qFormat/>
    <w:pPr>
      <w:snapToGrid w:val="0"/>
    </w:pPr>
    <w:rPr>
      <w:sz w:val="21"/>
    </w:rPr>
  </w:style>
  <w:style w:type="paragraph" w:styleId="af5">
    <w:name w:val="Normal (Web)"/>
    <w:basedOn w:val="a"/>
    <w:autoRedefine/>
    <w:uiPriority w:val="99"/>
    <w:qFormat/>
    <w:pPr>
      <w:widowControl/>
      <w:spacing w:before="100" w:beforeAutospacing="1" w:after="100" w:afterAutospacing="1" w:line="240" w:lineRule="auto"/>
      <w:ind w:firstLineChars="0" w:firstLine="0"/>
      <w:jc w:val="left"/>
    </w:pPr>
    <w:rPr>
      <w:rFonts w:ascii="宋体" w:hAnsi="宋体"/>
      <w:kern w:val="0"/>
      <w:sz w:val="24"/>
    </w:rPr>
  </w:style>
  <w:style w:type="paragraph" w:styleId="af6">
    <w:name w:val="annotation subject"/>
    <w:basedOn w:val="a5"/>
    <w:next w:val="a5"/>
    <w:link w:val="af7"/>
    <w:autoRedefine/>
    <w:uiPriority w:val="99"/>
    <w:qFormat/>
    <w:pPr>
      <w:spacing w:line="288" w:lineRule="auto"/>
      <w:ind w:firstLineChars="200" w:firstLine="723"/>
    </w:pPr>
    <w:rPr>
      <w:rFonts w:cs="宋体"/>
      <w:b/>
      <w:bCs/>
      <w:sz w:val="28"/>
      <w:szCs w:val="24"/>
    </w:rPr>
  </w:style>
  <w:style w:type="table" w:styleId="af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autoRedefine/>
    <w:uiPriority w:val="22"/>
    <w:qFormat/>
    <w:rPr>
      <w:b/>
      <w:bCs/>
    </w:rPr>
  </w:style>
  <w:style w:type="character" w:styleId="afa">
    <w:name w:val="endnote reference"/>
    <w:basedOn w:val="a0"/>
    <w:autoRedefine/>
    <w:uiPriority w:val="99"/>
    <w:qFormat/>
    <w:rPr>
      <w:vertAlign w:val="superscript"/>
    </w:rPr>
  </w:style>
  <w:style w:type="character" w:styleId="afb">
    <w:name w:val="FollowedHyperlink"/>
    <w:basedOn w:val="a0"/>
    <w:autoRedefine/>
    <w:uiPriority w:val="99"/>
    <w:qFormat/>
    <w:rPr>
      <w:color w:val="800080"/>
      <w:u w:val="single"/>
    </w:rPr>
  </w:style>
  <w:style w:type="character" w:styleId="afc">
    <w:name w:val="Emphasis"/>
    <w:basedOn w:val="a0"/>
    <w:autoRedefine/>
    <w:uiPriority w:val="20"/>
    <w:qFormat/>
    <w:rPr>
      <w:i/>
      <w:iCs/>
    </w:rPr>
  </w:style>
  <w:style w:type="character" w:styleId="afd">
    <w:name w:val="Hyperlink"/>
    <w:basedOn w:val="a0"/>
    <w:autoRedefine/>
    <w:uiPriority w:val="99"/>
    <w:qFormat/>
    <w:rPr>
      <w:rFonts w:ascii="Calibri" w:eastAsia="宋体" w:hAnsi="Calibri"/>
      <w:color w:val="000000"/>
      <w:u w:val="single"/>
    </w:rPr>
  </w:style>
  <w:style w:type="character" w:styleId="afe">
    <w:name w:val="annotation reference"/>
    <w:basedOn w:val="a0"/>
    <w:autoRedefine/>
    <w:uiPriority w:val="99"/>
    <w:qFormat/>
    <w:rPr>
      <w:sz w:val="21"/>
      <w:szCs w:val="21"/>
    </w:rPr>
  </w:style>
  <w:style w:type="character" w:styleId="aff">
    <w:name w:val="footnote reference"/>
    <w:basedOn w:val="a0"/>
    <w:autoRedefine/>
    <w:uiPriority w:val="99"/>
    <w:qFormat/>
    <w:rPr>
      <w:vertAlign w:val="superscript"/>
    </w:rPr>
  </w:style>
  <w:style w:type="paragraph" w:customStyle="1" w:styleId="aff0">
    <w:name w:val="编者按"/>
    <w:basedOn w:val="a"/>
    <w:autoRedefine/>
    <w:qFormat/>
    <w:rPr>
      <w:rFonts w:eastAsia="楷体"/>
      <w:sz w:val="24"/>
    </w:rPr>
  </w:style>
  <w:style w:type="character" w:customStyle="1" w:styleId="11">
    <w:name w:val="未处理的提及1"/>
    <w:basedOn w:val="a0"/>
    <w:autoRedefine/>
    <w:uiPriority w:val="99"/>
    <w:qFormat/>
    <w:rPr>
      <w:color w:val="605E5C"/>
      <w:shd w:val="clear" w:color="auto" w:fill="E1DFDD"/>
    </w:rPr>
  </w:style>
  <w:style w:type="character" w:customStyle="1" w:styleId="ae">
    <w:name w:val="页脚 字符"/>
    <w:basedOn w:val="a0"/>
    <w:link w:val="ad"/>
    <w:autoRedefine/>
    <w:uiPriority w:val="99"/>
    <w:qFormat/>
    <w:rPr>
      <w:rFonts w:eastAsia="宋体"/>
      <w:kern w:val="2"/>
      <w:sz w:val="18"/>
      <w:szCs w:val="24"/>
    </w:rPr>
  </w:style>
  <w:style w:type="character" w:customStyle="1" w:styleId="af4">
    <w:name w:val="脚注文本 字符"/>
    <w:basedOn w:val="a0"/>
    <w:link w:val="af3"/>
    <w:autoRedefine/>
    <w:uiPriority w:val="99"/>
    <w:qFormat/>
    <w:rPr>
      <w:rFonts w:ascii="Calibri" w:eastAsia="宋体" w:hAnsi="Calibri"/>
      <w:kern w:val="2"/>
      <w:sz w:val="21"/>
      <w:szCs w:val="24"/>
    </w:rPr>
  </w:style>
  <w:style w:type="character" w:customStyle="1" w:styleId="a8">
    <w:name w:val="日期 字符"/>
    <w:basedOn w:val="a0"/>
    <w:link w:val="a7"/>
    <w:autoRedefine/>
    <w:uiPriority w:val="99"/>
    <w:qFormat/>
    <w:rPr>
      <w:rFonts w:ascii="Calibri" w:eastAsia="仿宋" w:hAnsi="Calibri"/>
      <w:kern w:val="2"/>
      <w:sz w:val="24"/>
      <w:szCs w:val="24"/>
    </w:rPr>
  </w:style>
  <w:style w:type="paragraph" w:styleId="aff1">
    <w:name w:val="List Paragraph"/>
    <w:basedOn w:val="a"/>
    <w:autoRedefine/>
    <w:uiPriority w:val="99"/>
    <w:qFormat/>
    <w:pPr>
      <w:ind w:firstLine="420"/>
    </w:pPr>
  </w:style>
  <w:style w:type="character" w:customStyle="1" w:styleId="21">
    <w:name w:val="未处理的提及2"/>
    <w:basedOn w:val="a0"/>
    <w:autoRedefine/>
    <w:uiPriority w:val="99"/>
    <w:qFormat/>
    <w:rPr>
      <w:color w:val="605E5C"/>
      <w:shd w:val="clear" w:color="auto" w:fill="E1DFDD"/>
    </w:rPr>
  </w:style>
  <w:style w:type="character" w:customStyle="1" w:styleId="ac">
    <w:name w:val="批注框文本 字符"/>
    <w:basedOn w:val="a0"/>
    <w:link w:val="ab"/>
    <w:autoRedefine/>
    <w:uiPriority w:val="99"/>
    <w:qFormat/>
    <w:rPr>
      <w:rFonts w:eastAsia="宋体"/>
      <w:kern w:val="2"/>
      <w:sz w:val="18"/>
      <w:szCs w:val="18"/>
    </w:rPr>
  </w:style>
  <w:style w:type="paragraph" w:customStyle="1" w:styleId="aff2">
    <w:name w:val="署名"/>
    <w:basedOn w:val="a"/>
    <w:autoRedefine/>
    <w:qFormat/>
    <w:pPr>
      <w:jc w:val="right"/>
    </w:pPr>
    <w:rPr>
      <w:rFonts w:eastAsia="楷体"/>
      <w:sz w:val="18"/>
    </w:rPr>
  </w:style>
  <w:style w:type="paragraph" w:customStyle="1" w:styleId="aff3">
    <w:name w:val="图片"/>
    <w:basedOn w:val="a"/>
    <w:autoRedefine/>
    <w:qFormat/>
    <w:pPr>
      <w:ind w:firstLineChars="0" w:firstLine="0"/>
      <w:jc w:val="center"/>
    </w:pPr>
    <w:rPr>
      <w:rFonts w:eastAsia="楷体"/>
      <w:sz w:val="15"/>
    </w:rPr>
  </w:style>
  <w:style w:type="character" w:customStyle="1" w:styleId="10">
    <w:name w:val="标题 1 字符"/>
    <w:link w:val="1"/>
    <w:autoRedefine/>
    <w:uiPriority w:val="9"/>
    <w:qFormat/>
    <w:rPr>
      <w:rFonts w:eastAsia="宋体"/>
      <w:b/>
      <w:kern w:val="44"/>
      <w:sz w:val="36"/>
    </w:rPr>
  </w:style>
  <w:style w:type="character" w:customStyle="1" w:styleId="30">
    <w:name w:val="未处理的提及3"/>
    <w:basedOn w:val="a0"/>
    <w:autoRedefine/>
    <w:uiPriority w:val="99"/>
    <w:qFormat/>
    <w:rPr>
      <w:color w:val="605E5C"/>
      <w:shd w:val="clear" w:color="auto" w:fill="E1DFDD"/>
    </w:rPr>
  </w:style>
  <w:style w:type="character" w:customStyle="1" w:styleId="aa">
    <w:name w:val="尾注文本 字符"/>
    <w:basedOn w:val="a0"/>
    <w:link w:val="a9"/>
    <w:autoRedefine/>
    <w:uiPriority w:val="99"/>
    <w:qFormat/>
    <w:rPr>
      <w:rFonts w:eastAsia="宋体"/>
      <w:kern w:val="2"/>
      <w:sz w:val="28"/>
      <w:szCs w:val="24"/>
    </w:rPr>
  </w:style>
  <w:style w:type="character" w:customStyle="1" w:styleId="4">
    <w:name w:val="未处理的提及4"/>
    <w:basedOn w:val="a0"/>
    <w:autoRedefine/>
    <w:uiPriority w:val="99"/>
    <w:qFormat/>
    <w:rPr>
      <w:color w:val="605E5C"/>
      <w:shd w:val="clear" w:color="auto" w:fill="E1DFDD"/>
    </w:rPr>
  </w:style>
  <w:style w:type="character" w:customStyle="1" w:styleId="5">
    <w:name w:val="未处理的提及5"/>
    <w:basedOn w:val="a0"/>
    <w:autoRedefine/>
    <w:uiPriority w:val="99"/>
    <w:qFormat/>
    <w:rPr>
      <w:color w:val="605E5C"/>
      <w:shd w:val="clear" w:color="auto" w:fill="E1DFDD"/>
    </w:rPr>
  </w:style>
  <w:style w:type="character" w:customStyle="1" w:styleId="a6">
    <w:name w:val="批注文字 字符"/>
    <w:basedOn w:val="a0"/>
    <w:link w:val="a5"/>
    <w:autoRedefine/>
    <w:uiPriority w:val="99"/>
    <w:qFormat/>
    <w:rPr>
      <w:rFonts w:cs="Arial"/>
      <w:kern w:val="2"/>
      <w:sz w:val="21"/>
      <w:szCs w:val="22"/>
    </w:rPr>
  </w:style>
  <w:style w:type="character" w:customStyle="1" w:styleId="6">
    <w:name w:val="未处理的提及6"/>
    <w:basedOn w:val="a0"/>
    <w:autoRedefine/>
    <w:uiPriority w:val="99"/>
    <w:qFormat/>
    <w:rPr>
      <w:color w:val="605E5C"/>
      <w:shd w:val="clear" w:color="auto" w:fill="E1DFDD"/>
    </w:rPr>
  </w:style>
  <w:style w:type="character" w:customStyle="1" w:styleId="fontstyle01">
    <w:name w:val="fontstyle01"/>
    <w:basedOn w:val="a0"/>
    <w:autoRedefine/>
    <w:qFormat/>
    <w:rPr>
      <w:rFonts w:ascii="MinionPro-Regular" w:hAnsi="MinionPro-Regular" w:hint="default"/>
      <w:color w:val="CD171A"/>
      <w:sz w:val="60"/>
      <w:szCs w:val="60"/>
    </w:rPr>
  </w:style>
  <w:style w:type="character" w:customStyle="1" w:styleId="7">
    <w:name w:val="未处理的提及7"/>
    <w:basedOn w:val="a0"/>
    <w:autoRedefine/>
    <w:uiPriority w:val="99"/>
    <w:qFormat/>
    <w:rPr>
      <w:color w:val="605E5C"/>
      <w:shd w:val="clear" w:color="auto" w:fill="E1DFDD"/>
    </w:rPr>
  </w:style>
  <w:style w:type="character" w:customStyle="1" w:styleId="8">
    <w:name w:val="未处理的提及8"/>
    <w:basedOn w:val="a0"/>
    <w:autoRedefine/>
    <w:uiPriority w:val="99"/>
    <w:qFormat/>
    <w:rPr>
      <w:color w:val="605E5C"/>
      <w:shd w:val="clear" w:color="auto" w:fill="E1DFDD"/>
    </w:rPr>
  </w:style>
  <w:style w:type="character" w:customStyle="1" w:styleId="9">
    <w:name w:val="未处理的提及9"/>
    <w:basedOn w:val="a0"/>
    <w:autoRedefine/>
    <w:uiPriority w:val="99"/>
    <w:qFormat/>
    <w:rPr>
      <w:color w:val="605E5C"/>
      <w:shd w:val="clear" w:color="auto" w:fill="E1DFDD"/>
    </w:rPr>
  </w:style>
  <w:style w:type="character" w:customStyle="1" w:styleId="100">
    <w:name w:val="未处理的提及10"/>
    <w:basedOn w:val="a0"/>
    <w:autoRedefine/>
    <w:uiPriority w:val="99"/>
    <w:qFormat/>
    <w:rPr>
      <w:color w:val="605E5C"/>
      <w:shd w:val="clear" w:color="auto" w:fill="E1DFDD"/>
    </w:rPr>
  </w:style>
  <w:style w:type="character" w:customStyle="1" w:styleId="110">
    <w:name w:val="未处理的提及11"/>
    <w:basedOn w:val="a0"/>
    <w:autoRedefine/>
    <w:uiPriority w:val="99"/>
    <w:qFormat/>
    <w:rPr>
      <w:color w:val="605E5C"/>
      <w:shd w:val="clear" w:color="auto" w:fill="E1DFDD"/>
    </w:rPr>
  </w:style>
  <w:style w:type="character" w:customStyle="1" w:styleId="fontstyle21">
    <w:name w:val="fontstyle21"/>
    <w:basedOn w:val="a0"/>
    <w:autoRedefine/>
    <w:qFormat/>
    <w:rPr>
      <w:rFonts w:ascii="Calibri" w:hAnsi="Calibri" w:cs="Calibri" w:hint="default"/>
      <w:color w:val="000000"/>
      <w:sz w:val="22"/>
      <w:szCs w:val="22"/>
    </w:rPr>
  </w:style>
  <w:style w:type="character" w:customStyle="1" w:styleId="af2">
    <w:name w:val="副标题 字符"/>
    <w:basedOn w:val="a0"/>
    <w:link w:val="af1"/>
    <w:autoRedefine/>
    <w:uiPriority w:val="11"/>
    <w:qFormat/>
    <w:rPr>
      <w:rFonts w:ascii="Cambria" w:hAnsi="Cambria" w:cs="宋体"/>
      <w:b/>
      <w:bCs/>
      <w:kern w:val="28"/>
      <w:sz w:val="32"/>
      <w:szCs w:val="32"/>
    </w:rPr>
  </w:style>
  <w:style w:type="paragraph" w:customStyle="1" w:styleId="12">
    <w:name w:val="修订1"/>
    <w:autoRedefine/>
    <w:uiPriority w:val="99"/>
    <w:qFormat/>
    <w:rPr>
      <w:rFonts w:ascii="Calibri" w:hAnsi="Calibri" w:cs="宋体"/>
      <w:kern w:val="2"/>
      <w:sz w:val="21"/>
      <w:szCs w:val="22"/>
    </w:rPr>
  </w:style>
  <w:style w:type="character" w:customStyle="1" w:styleId="120">
    <w:name w:val="未处理的提及12"/>
    <w:basedOn w:val="a0"/>
    <w:autoRedefine/>
    <w:uiPriority w:val="99"/>
    <w:qFormat/>
    <w:rPr>
      <w:color w:val="605E5C"/>
      <w:shd w:val="clear" w:color="auto" w:fill="E1DFDD"/>
    </w:rPr>
  </w:style>
  <w:style w:type="character" w:customStyle="1" w:styleId="13">
    <w:name w:val="未处理的提及13"/>
    <w:basedOn w:val="a0"/>
    <w:autoRedefine/>
    <w:uiPriority w:val="99"/>
    <w:qFormat/>
    <w:rPr>
      <w:color w:val="605E5C"/>
      <w:shd w:val="clear" w:color="auto" w:fill="E1DFDD"/>
    </w:rPr>
  </w:style>
  <w:style w:type="character" w:customStyle="1" w:styleId="14">
    <w:name w:val="未处理的提及14"/>
    <w:basedOn w:val="a0"/>
    <w:autoRedefine/>
    <w:uiPriority w:val="99"/>
    <w:qFormat/>
    <w:rPr>
      <w:color w:val="605E5C"/>
      <w:shd w:val="clear" w:color="auto" w:fill="E1DFDD"/>
    </w:rPr>
  </w:style>
  <w:style w:type="character" w:customStyle="1" w:styleId="15">
    <w:name w:val="未处理的提及15"/>
    <w:basedOn w:val="a0"/>
    <w:autoRedefine/>
    <w:uiPriority w:val="99"/>
    <w:qFormat/>
    <w:rPr>
      <w:color w:val="605E5C"/>
      <w:shd w:val="clear" w:color="auto" w:fill="E1DFDD"/>
    </w:rPr>
  </w:style>
  <w:style w:type="character" w:customStyle="1" w:styleId="16">
    <w:name w:val="未处理的提及16"/>
    <w:basedOn w:val="a0"/>
    <w:autoRedefine/>
    <w:uiPriority w:val="99"/>
    <w:qFormat/>
    <w:rPr>
      <w:color w:val="605E5C"/>
      <w:shd w:val="clear" w:color="auto" w:fill="E1DFDD"/>
    </w:rPr>
  </w:style>
  <w:style w:type="character" w:customStyle="1" w:styleId="20">
    <w:name w:val="标题 2 字符"/>
    <w:basedOn w:val="a0"/>
    <w:link w:val="2"/>
    <w:autoRedefine/>
    <w:uiPriority w:val="9"/>
    <w:qFormat/>
    <w:rPr>
      <w:rFonts w:ascii="Arial" w:eastAsia="黑体" w:hAnsi="Arial"/>
      <w:b/>
      <w:kern w:val="2"/>
      <w:sz w:val="30"/>
      <w:szCs w:val="24"/>
    </w:rPr>
  </w:style>
  <w:style w:type="character" w:customStyle="1" w:styleId="af0">
    <w:name w:val="页眉 字符"/>
    <w:basedOn w:val="a0"/>
    <w:link w:val="af"/>
    <w:autoRedefine/>
    <w:uiPriority w:val="99"/>
    <w:qFormat/>
    <w:rPr>
      <w:kern w:val="2"/>
      <w:sz w:val="18"/>
      <w:szCs w:val="24"/>
    </w:rPr>
  </w:style>
  <w:style w:type="character" w:customStyle="1" w:styleId="17">
    <w:name w:val="未处理的提及17"/>
    <w:basedOn w:val="a0"/>
    <w:autoRedefine/>
    <w:uiPriority w:val="99"/>
    <w:qFormat/>
    <w:rPr>
      <w:color w:val="605E5C"/>
      <w:shd w:val="clear" w:color="auto" w:fill="E1DFDD"/>
    </w:rPr>
  </w:style>
  <w:style w:type="character" w:customStyle="1" w:styleId="18">
    <w:name w:val="未处理的提及18"/>
    <w:basedOn w:val="a0"/>
    <w:autoRedefine/>
    <w:uiPriority w:val="99"/>
    <w:qFormat/>
    <w:rPr>
      <w:color w:val="605E5C"/>
      <w:shd w:val="clear" w:color="auto" w:fill="E1DFDD"/>
    </w:rPr>
  </w:style>
  <w:style w:type="character" w:customStyle="1" w:styleId="19">
    <w:name w:val="未处理的提及19"/>
    <w:basedOn w:val="a0"/>
    <w:autoRedefine/>
    <w:uiPriority w:val="99"/>
    <w:qFormat/>
    <w:rPr>
      <w:color w:val="605E5C"/>
      <w:shd w:val="clear" w:color="auto" w:fill="E1DFDD"/>
    </w:rPr>
  </w:style>
  <w:style w:type="character" w:customStyle="1" w:styleId="200">
    <w:name w:val="未处理的提及20"/>
    <w:basedOn w:val="a0"/>
    <w:autoRedefine/>
    <w:uiPriority w:val="99"/>
    <w:qFormat/>
    <w:rPr>
      <w:color w:val="605E5C"/>
      <w:shd w:val="clear" w:color="auto" w:fill="E1DFDD"/>
    </w:rPr>
  </w:style>
  <w:style w:type="character" w:customStyle="1" w:styleId="210">
    <w:name w:val="未处理的提及21"/>
    <w:basedOn w:val="a0"/>
    <w:autoRedefine/>
    <w:uiPriority w:val="99"/>
    <w:qFormat/>
    <w:rPr>
      <w:color w:val="605E5C"/>
      <w:shd w:val="clear" w:color="auto" w:fill="E1DFDD"/>
    </w:rPr>
  </w:style>
  <w:style w:type="character" w:customStyle="1" w:styleId="22">
    <w:name w:val="未处理的提及22"/>
    <w:basedOn w:val="a0"/>
    <w:autoRedefine/>
    <w:uiPriority w:val="99"/>
    <w:qFormat/>
    <w:rPr>
      <w:color w:val="605E5C"/>
      <w:shd w:val="clear" w:color="auto" w:fill="E1DFDD"/>
    </w:rPr>
  </w:style>
  <w:style w:type="character" w:customStyle="1" w:styleId="23">
    <w:name w:val="未处理的提及23"/>
    <w:basedOn w:val="a0"/>
    <w:autoRedefine/>
    <w:uiPriority w:val="99"/>
    <w:qFormat/>
    <w:rPr>
      <w:color w:val="605E5C"/>
      <w:shd w:val="clear" w:color="auto" w:fill="E1DFDD"/>
    </w:rPr>
  </w:style>
  <w:style w:type="character" w:customStyle="1" w:styleId="24">
    <w:name w:val="未处理的提及24"/>
    <w:basedOn w:val="a0"/>
    <w:autoRedefine/>
    <w:uiPriority w:val="99"/>
    <w:qFormat/>
    <w:rPr>
      <w:color w:val="605E5C"/>
      <w:shd w:val="clear" w:color="auto" w:fill="E1DFDD"/>
    </w:rPr>
  </w:style>
  <w:style w:type="character" w:customStyle="1" w:styleId="25">
    <w:name w:val="未处理的提及25"/>
    <w:basedOn w:val="a0"/>
    <w:autoRedefine/>
    <w:uiPriority w:val="99"/>
    <w:qFormat/>
    <w:rPr>
      <w:color w:val="605E5C"/>
      <w:shd w:val="clear" w:color="auto" w:fill="E1DFDD"/>
    </w:rPr>
  </w:style>
  <w:style w:type="character" w:customStyle="1" w:styleId="af7">
    <w:name w:val="批注主题 字符"/>
    <w:basedOn w:val="a6"/>
    <w:link w:val="af6"/>
    <w:autoRedefine/>
    <w:uiPriority w:val="99"/>
    <w:qFormat/>
    <w:rPr>
      <w:rFonts w:cs="Arial"/>
      <w:b/>
      <w:bCs/>
      <w:kern w:val="2"/>
      <w:sz w:val="28"/>
      <w:szCs w:val="24"/>
    </w:rPr>
  </w:style>
  <w:style w:type="character" w:customStyle="1" w:styleId="26">
    <w:name w:val="未处理的提及26"/>
    <w:basedOn w:val="a0"/>
    <w:autoRedefine/>
    <w:uiPriority w:val="99"/>
    <w:qFormat/>
    <w:rPr>
      <w:color w:val="605E5C"/>
      <w:shd w:val="clear" w:color="auto" w:fill="E1DFDD"/>
    </w:rPr>
  </w:style>
  <w:style w:type="character" w:customStyle="1" w:styleId="a4">
    <w:name w:val="文档结构图 字符"/>
    <w:basedOn w:val="a0"/>
    <w:link w:val="a3"/>
    <w:autoRedefine/>
    <w:uiPriority w:val="99"/>
    <w:qFormat/>
    <w:rPr>
      <w:rFonts w:ascii="宋体"/>
      <w:kern w:val="2"/>
      <w:sz w:val="18"/>
      <w:szCs w:val="18"/>
    </w:rPr>
  </w:style>
  <w:style w:type="character" w:customStyle="1" w:styleId="27">
    <w:name w:val="未处理的提及27"/>
    <w:basedOn w:val="a0"/>
    <w:autoRedefine/>
    <w:uiPriority w:val="99"/>
    <w:qFormat/>
    <w:rPr>
      <w:color w:val="605E5C"/>
      <w:shd w:val="clear" w:color="auto" w:fill="E1DFDD"/>
    </w:rPr>
  </w:style>
  <w:style w:type="character" w:customStyle="1" w:styleId="28">
    <w:name w:val="未处理的提及28"/>
    <w:basedOn w:val="a0"/>
    <w:autoRedefine/>
    <w:uiPriority w:val="99"/>
    <w:qFormat/>
    <w:rPr>
      <w:color w:val="605E5C"/>
      <w:shd w:val="clear" w:color="auto" w:fill="E1DFDD"/>
    </w:rPr>
  </w:style>
  <w:style w:type="character" w:customStyle="1" w:styleId="29">
    <w:name w:val="未处理的提及29"/>
    <w:basedOn w:val="a0"/>
    <w:autoRedefine/>
    <w:uiPriority w:val="99"/>
    <w:semiHidden/>
    <w:unhideWhenUsed/>
    <w:qFormat/>
    <w:rPr>
      <w:color w:val="605E5C"/>
      <w:shd w:val="clear" w:color="auto" w:fill="E1DFDD"/>
    </w:rPr>
  </w:style>
  <w:style w:type="paragraph" w:styleId="aff4">
    <w:name w:val="Revision"/>
    <w:hidden/>
    <w:uiPriority w:val="99"/>
    <w:unhideWhenUsed/>
    <w:rsid w:val="00BC1C08"/>
    <w:rPr>
      <w:rFonts w:ascii="Calibri" w:hAnsi="Calibri" w:cs="宋体"/>
      <w:kern w:val="2"/>
      <w:sz w:val="28"/>
      <w:szCs w:val="24"/>
    </w:rPr>
  </w:style>
  <w:style w:type="character" w:styleId="aff5">
    <w:name w:val="Unresolved Mention"/>
    <w:basedOn w:val="a0"/>
    <w:uiPriority w:val="99"/>
    <w:semiHidden/>
    <w:unhideWhenUsed/>
    <w:rsid w:val="00546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peoplesdispatch.org/2022/10/08/a-movement-to-expose-role-of-big-tech-companies-in-promoting-israeli-occupation-and-apartheid/"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peoplesdispatch.org/2024/03/12/google-fires-engineer-for-standing-up-for-palest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cloud.seatable.cn/dtable/forms/ff203a21-e739-4321-bb63-3d9665873695/" TargetMode="External"/><Relationship Id="rId14" Type="http://schemas.openxmlformats.org/officeDocument/2006/relationships/header" Target="header3.xml"/><Relationship Id="rId22" Type="http://schemas.openxmlformats.org/officeDocument/2006/relationships/hyperlink" Target="https://icspwindia.wordpress.com/2024/04/03/communist-party-of-india-maoist-expresses-its-solidarity-to-the-ongoing-farmers-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8A9D-265C-43C8-9CE1-D4B77543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6002</Words>
  <Characters>6963</Characters>
  <Application>Microsoft Office Word</Application>
  <DocSecurity>0</DocSecurity>
  <Lines>316</Lines>
  <Paragraphs>129</Paragraphs>
  <ScaleCrop>false</ScaleCrop>
  <Company>china</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13262</dc:creator>
  <cp:lastModifiedBy>wangbin</cp:lastModifiedBy>
  <cp:revision>1061</cp:revision>
  <cp:lastPrinted>2024-05-25T02:28:00Z</cp:lastPrinted>
  <dcterms:created xsi:type="dcterms:W3CDTF">2022-02-02T11:50:00Z</dcterms:created>
  <dcterms:modified xsi:type="dcterms:W3CDTF">2024-05-25T02:30:00Z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cbd615f2dfed4ddc8aaaf1b6eac1bc93_23</vt:lpwstr>
  </property>
</Properties>
</file>