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B66DA" w14:textId="77777777" w:rsidR="00C7144A" w:rsidRDefault="00C7144A">
      <w:pPr>
        <w:widowControl/>
        <w:ind w:left="1120" w:hangingChars="350" w:hanging="1120"/>
        <w:jc w:val="left"/>
        <w:rPr>
          <w:rFonts w:ascii="黑体" w:eastAsia="黑体" w:hAnsi="黑体"/>
          <w:sz w:val="32"/>
          <w:szCs w:val="32"/>
        </w:rPr>
      </w:pPr>
    </w:p>
    <w:p w14:paraId="4B65A0EF" w14:textId="77777777" w:rsidR="00C7144A" w:rsidRDefault="00000000">
      <w:pPr>
        <w:widowControl/>
        <w:ind w:firstLineChars="0" w:firstLine="0"/>
        <w:jc w:val="center"/>
        <w:rPr>
          <w:rFonts w:ascii="黑体" w:eastAsia="黑体" w:hAnsi="黑体"/>
          <w:szCs w:val="28"/>
        </w:rPr>
      </w:pPr>
      <w:r>
        <w:rPr>
          <w:rFonts w:ascii="黑体" w:eastAsia="黑体" w:hAnsi="黑体"/>
          <w:noProof/>
          <w:szCs w:val="28"/>
        </w:rPr>
        <w:drawing>
          <wp:inline distT="0" distB="0" distL="0" distR="0" wp14:anchorId="49704535" wp14:editId="49A70145">
            <wp:extent cx="1080000" cy="936000"/>
            <wp:effectExtent l="0" t="0" r="0" b="0"/>
            <wp:docPr id="10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9" cstate="print"/>
                    <a:srcRect/>
                    <a:stretch/>
                  </pic:blipFill>
                  <pic:spPr>
                    <a:xfrm>
                      <a:off x="0" y="0"/>
                      <a:ext cx="1080000" cy="936000"/>
                    </a:xfrm>
                    <a:prstGeom prst="rect">
                      <a:avLst/>
                    </a:prstGeom>
                  </pic:spPr>
                </pic:pic>
              </a:graphicData>
            </a:graphic>
          </wp:inline>
        </w:drawing>
      </w:r>
    </w:p>
    <w:p w14:paraId="14DBC9FE" w14:textId="77777777" w:rsidR="00C7144A" w:rsidRDefault="00000000">
      <w:pPr>
        <w:widowControl/>
        <w:spacing w:before="120" w:line="400" w:lineRule="exact"/>
        <w:ind w:firstLineChars="0" w:firstLine="0"/>
        <w:jc w:val="center"/>
        <w:rPr>
          <w:rFonts w:ascii="MS Reference Sans Serif" w:eastAsia="Microsoft YaHei UI" w:hAnsi="MS Reference Sans Serif" w:cs="Times New Roman"/>
          <w:noProof/>
          <w:color w:val="FFFFFF"/>
          <w:sz w:val="32"/>
          <w:szCs w:val="32"/>
        </w:rPr>
      </w:pPr>
      <w:r>
        <w:rPr>
          <w:rFonts w:ascii="MS Reference Sans Serif" w:eastAsia="Microsoft YaHei UI" w:hAnsi="MS Reference Sans Serif" w:cs="Times New Roman"/>
          <w:noProof/>
          <w:color w:val="FFFFFF"/>
          <w:sz w:val="32"/>
          <w:szCs w:val="32"/>
          <w:highlight w:val="red"/>
        </w:rPr>
        <w:t>International Red Newsletter</w:t>
      </w:r>
    </w:p>
    <w:p w14:paraId="4EE0CE98" w14:textId="77777777" w:rsidR="00C7144A" w:rsidRDefault="00C7144A">
      <w:pPr>
        <w:widowControl/>
        <w:ind w:left="1120" w:hangingChars="350" w:hanging="1120"/>
        <w:jc w:val="left"/>
        <w:rPr>
          <w:rFonts w:ascii="黑体" w:eastAsia="黑体" w:hAnsi="黑体"/>
          <w:sz w:val="32"/>
          <w:szCs w:val="32"/>
        </w:rPr>
      </w:pPr>
    </w:p>
    <w:p w14:paraId="32DF421E" w14:textId="464CBA16" w:rsidR="00DA206C" w:rsidRPr="00DA206C" w:rsidRDefault="00000000">
      <w:pPr>
        <w:pStyle w:val="TOC1"/>
        <w:rPr>
          <w:rFonts w:asciiTheme="minorHAnsi" w:eastAsiaTheme="minorEastAsia" w:hAnsiTheme="minorHAnsi" w:cstheme="minorBidi"/>
          <w:w w:val="100"/>
          <w:sz w:val="21"/>
          <w:szCs w:val="22"/>
          <w14:ligatures w14:val="standardContextual"/>
        </w:rPr>
      </w:pPr>
      <w:r w:rsidRPr="006206F0">
        <w:rPr>
          <w:w w:val="90"/>
        </w:rPr>
        <w:fldChar w:fldCharType="begin"/>
      </w:r>
      <w:r w:rsidRPr="006206F0">
        <w:rPr>
          <w:w w:val="90"/>
        </w:rPr>
        <w:instrText xml:space="preserve"> TOC \o "1-3" \h \z \u </w:instrText>
      </w:r>
      <w:r w:rsidRPr="006206F0">
        <w:rPr>
          <w:w w:val="90"/>
        </w:rPr>
        <w:fldChar w:fldCharType="separate"/>
      </w:r>
      <w:hyperlink w:anchor="_Toc164197983" w:history="1">
        <w:r w:rsidR="00DA206C" w:rsidRPr="00DA206C">
          <w:rPr>
            <w:rStyle w:val="af"/>
            <w:rFonts w:ascii="黑体" w:eastAsia="黑体" w:hAnsi="黑体"/>
            <w:w w:val="100"/>
          </w:rPr>
          <w:t>法国《人民事业》评巴勒斯坦解放斗争</w:t>
        </w:r>
        <w:r w:rsidR="00DA206C" w:rsidRPr="00DA206C">
          <w:rPr>
            <w:webHidden/>
            <w:w w:val="100"/>
          </w:rPr>
          <w:tab/>
        </w:r>
        <w:r w:rsidR="00DA206C" w:rsidRPr="00DA206C">
          <w:rPr>
            <w:webHidden/>
            <w:w w:val="100"/>
          </w:rPr>
          <w:fldChar w:fldCharType="begin"/>
        </w:r>
        <w:r w:rsidR="00DA206C" w:rsidRPr="00DA206C">
          <w:rPr>
            <w:webHidden/>
            <w:w w:val="100"/>
          </w:rPr>
          <w:instrText xml:space="preserve"> PAGEREF _Toc164197983 \h </w:instrText>
        </w:r>
        <w:r w:rsidR="00DA206C" w:rsidRPr="00DA206C">
          <w:rPr>
            <w:webHidden/>
            <w:w w:val="100"/>
          </w:rPr>
        </w:r>
        <w:r w:rsidR="00DA206C" w:rsidRPr="00DA206C">
          <w:rPr>
            <w:webHidden/>
            <w:w w:val="100"/>
          </w:rPr>
          <w:fldChar w:fldCharType="separate"/>
        </w:r>
        <w:r w:rsidR="00E92EF9">
          <w:rPr>
            <w:webHidden/>
            <w:w w:val="100"/>
          </w:rPr>
          <w:t>1</w:t>
        </w:r>
        <w:r w:rsidR="00DA206C" w:rsidRPr="00DA206C">
          <w:rPr>
            <w:webHidden/>
            <w:w w:val="100"/>
          </w:rPr>
          <w:fldChar w:fldCharType="end"/>
        </w:r>
      </w:hyperlink>
    </w:p>
    <w:p w14:paraId="39F859EE" w14:textId="2268D51E" w:rsidR="00DA206C" w:rsidRPr="00DA206C" w:rsidRDefault="00DA206C">
      <w:pPr>
        <w:pStyle w:val="TOC1"/>
        <w:rPr>
          <w:rFonts w:asciiTheme="minorHAnsi" w:eastAsiaTheme="minorEastAsia" w:hAnsiTheme="minorHAnsi" w:cstheme="minorBidi"/>
          <w:w w:val="100"/>
          <w:sz w:val="21"/>
          <w:szCs w:val="22"/>
          <w14:ligatures w14:val="standardContextual"/>
        </w:rPr>
      </w:pPr>
      <w:hyperlink w:anchor="_Toc164197984" w:history="1">
        <w:r w:rsidRPr="00DA206C">
          <w:rPr>
            <w:rStyle w:val="af"/>
            <w:rFonts w:ascii="黑体" w:eastAsia="黑体" w:hAnsi="黑体"/>
            <w:w w:val="100"/>
          </w:rPr>
          <w:t>法国革命共产党评乌克兰战争两周年</w:t>
        </w:r>
        <w:r w:rsidRPr="00DA206C">
          <w:rPr>
            <w:webHidden/>
            <w:w w:val="100"/>
          </w:rPr>
          <w:tab/>
        </w:r>
        <w:r w:rsidRPr="00DA206C">
          <w:rPr>
            <w:webHidden/>
            <w:w w:val="100"/>
          </w:rPr>
          <w:fldChar w:fldCharType="begin"/>
        </w:r>
        <w:r w:rsidRPr="00DA206C">
          <w:rPr>
            <w:webHidden/>
            <w:w w:val="100"/>
          </w:rPr>
          <w:instrText xml:space="preserve"> PAGEREF _Toc164197984 \h </w:instrText>
        </w:r>
        <w:r w:rsidRPr="00DA206C">
          <w:rPr>
            <w:webHidden/>
            <w:w w:val="100"/>
          </w:rPr>
        </w:r>
        <w:r w:rsidRPr="00DA206C">
          <w:rPr>
            <w:webHidden/>
            <w:w w:val="100"/>
          </w:rPr>
          <w:fldChar w:fldCharType="separate"/>
        </w:r>
        <w:r w:rsidR="00E92EF9">
          <w:rPr>
            <w:webHidden/>
            <w:w w:val="100"/>
          </w:rPr>
          <w:t>8</w:t>
        </w:r>
        <w:r w:rsidRPr="00DA206C">
          <w:rPr>
            <w:webHidden/>
            <w:w w:val="100"/>
          </w:rPr>
          <w:fldChar w:fldCharType="end"/>
        </w:r>
      </w:hyperlink>
    </w:p>
    <w:p w14:paraId="079EE1EC" w14:textId="54A9A0C7" w:rsidR="00DA206C" w:rsidRPr="00DA206C" w:rsidRDefault="00DA206C">
      <w:pPr>
        <w:pStyle w:val="TOC1"/>
        <w:rPr>
          <w:rFonts w:asciiTheme="minorHAnsi" w:eastAsiaTheme="minorEastAsia" w:hAnsiTheme="minorHAnsi" w:cstheme="minorBidi"/>
          <w:w w:val="100"/>
          <w:sz w:val="21"/>
          <w:szCs w:val="22"/>
          <w14:ligatures w14:val="standardContextual"/>
        </w:rPr>
      </w:pPr>
      <w:hyperlink w:anchor="_Toc164197985" w:history="1">
        <w:r w:rsidRPr="00DA206C">
          <w:rPr>
            <w:rStyle w:val="af"/>
            <w:rFonts w:ascii="黑体" w:eastAsia="黑体" w:hAnsi="黑体"/>
            <w:w w:val="100"/>
          </w:rPr>
          <w:t>尼泊尔的右转：2022年大选观察</w:t>
        </w:r>
        <w:r w:rsidRPr="00DA206C">
          <w:rPr>
            <w:webHidden/>
            <w:w w:val="100"/>
          </w:rPr>
          <w:tab/>
        </w:r>
        <w:r w:rsidRPr="00DA206C">
          <w:rPr>
            <w:webHidden/>
            <w:w w:val="100"/>
          </w:rPr>
          <w:fldChar w:fldCharType="begin"/>
        </w:r>
        <w:r w:rsidRPr="00DA206C">
          <w:rPr>
            <w:webHidden/>
            <w:w w:val="100"/>
          </w:rPr>
          <w:instrText xml:space="preserve"> PAGEREF _Toc164197985 \h </w:instrText>
        </w:r>
        <w:r w:rsidRPr="00DA206C">
          <w:rPr>
            <w:webHidden/>
            <w:w w:val="100"/>
          </w:rPr>
        </w:r>
        <w:r w:rsidRPr="00DA206C">
          <w:rPr>
            <w:webHidden/>
            <w:w w:val="100"/>
          </w:rPr>
          <w:fldChar w:fldCharType="separate"/>
        </w:r>
        <w:r w:rsidR="00E92EF9">
          <w:rPr>
            <w:webHidden/>
            <w:w w:val="100"/>
          </w:rPr>
          <w:t>13</w:t>
        </w:r>
        <w:r w:rsidRPr="00DA206C">
          <w:rPr>
            <w:webHidden/>
            <w:w w:val="100"/>
          </w:rPr>
          <w:fldChar w:fldCharType="end"/>
        </w:r>
      </w:hyperlink>
    </w:p>
    <w:p w14:paraId="754DC1C5" w14:textId="61FBF672" w:rsidR="00DA206C" w:rsidRDefault="00DA206C">
      <w:pPr>
        <w:pStyle w:val="TOC1"/>
        <w:rPr>
          <w:rFonts w:asciiTheme="minorHAnsi" w:eastAsiaTheme="minorEastAsia" w:hAnsiTheme="minorHAnsi" w:cstheme="minorBidi"/>
          <w:w w:val="100"/>
          <w:sz w:val="21"/>
          <w:szCs w:val="22"/>
          <w14:ligatures w14:val="standardContextual"/>
        </w:rPr>
      </w:pPr>
      <w:hyperlink w:anchor="_Toc164197986" w:history="1">
        <w:r w:rsidRPr="00DA206C">
          <w:rPr>
            <w:rStyle w:val="af"/>
            <w:rFonts w:ascii="黑体" w:eastAsia="黑体" w:hAnsi="黑体"/>
            <w:w w:val="100"/>
          </w:rPr>
          <w:t>匈牙利工人党2006-欧洲左翼领导人访谈</w:t>
        </w:r>
        <w:r w:rsidRPr="00DA206C">
          <w:rPr>
            <w:webHidden/>
            <w:w w:val="100"/>
          </w:rPr>
          <w:tab/>
        </w:r>
        <w:r w:rsidRPr="00DA206C">
          <w:rPr>
            <w:webHidden/>
            <w:w w:val="100"/>
          </w:rPr>
          <w:fldChar w:fldCharType="begin"/>
        </w:r>
        <w:r w:rsidRPr="00DA206C">
          <w:rPr>
            <w:webHidden/>
            <w:w w:val="100"/>
          </w:rPr>
          <w:instrText xml:space="preserve"> PAGEREF _Toc164197986 \h </w:instrText>
        </w:r>
        <w:r w:rsidRPr="00DA206C">
          <w:rPr>
            <w:webHidden/>
            <w:w w:val="100"/>
          </w:rPr>
        </w:r>
        <w:r w:rsidRPr="00DA206C">
          <w:rPr>
            <w:webHidden/>
            <w:w w:val="100"/>
          </w:rPr>
          <w:fldChar w:fldCharType="separate"/>
        </w:r>
        <w:r w:rsidR="00E92EF9">
          <w:rPr>
            <w:webHidden/>
            <w:w w:val="100"/>
          </w:rPr>
          <w:t>24</w:t>
        </w:r>
        <w:r w:rsidRPr="00DA206C">
          <w:rPr>
            <w:webHidden/>
            <w:w w:val="100"/>
          </w:rPr>
          <w:fldChar w:fldCharType="end"/>
        </w:r>
      </w:hyperlink>
    </w:p>
    <w:p w14:paraId="739F123A" w14:textId="430F94C2" w:rsidR="00C7144A" w:rsidRPr="006A7565" w:rsidRDefault="00000000">
      <w:pPr>
        <w:pStyle w:val="TOC1"/>
        <w:rPr>
          <w:w w:val="100"/>
        </w:rPr>
      </w:pPr>
      <w:r w:rsidRPr="006206F0">
        <w:rPr>
          <w:w w:val="90"/>
        </w:rPr>
        <w:fldChar w:fldCharType="end"/>
      </w:r>
    </w:p>
    <w:p w14:paraId="1D63DEEC" w14:textId="77777777" w:rsidR="00C7144A" w:rsidRDefault="00C7144A">
      <w:pPr>
        <w:widowControl/>
        <w:ind w:left="1120" w:hangingChars="350" w:hanging="1120"/>
        <w:jc w:val="left"/>
        <w:rPr>
          <w:rFonts w:ascii="黑体" w:eastAsia="黑体" w:hAnsi="黑体"/>
          <w:sz w:val="32"/>
          <w:szCs w:val="32"/>
        </w:rPr>
      </w:pPr>
    </w:p>
    <w:p w14:paraId="770C9C37" w14:textId="77777777" w:rsidR="006206F0" w:rsidRDefault="006206F0">
      <w:pPr>
        <w:widowControl/>
        <w:ind w:left="1120" w:hangingChars="350" w:hanging="1120"/>
        <w:jc w:val="left"/>
        <w:rPr>
          <w:rFonts w:ascii="黑体" w:eastAsia="黑体" w:hAnsi="黑体"/>
          <w:sz w:val="32"/>
          <w:szCs w:val="32"/>
        </w:rPr>
      </w:pPr>
    </w:p>
    <w:p w14:paraId="1B6BC380" w14:textId="77777777" w:rsidR="00C7144A" w:rsidRDefault="00C7144A">
      <w:pPr>
        <w:widowControl/>
        <w:ind w:left="1120" w:hangingChars="350" w:hanging="1120"/>
        <w:jc w:val="left"/>
        <w:rPr>
          <w:rFonts w:ascii="黑体" w:eastAsia="黑体" w:hAnsi="黑体"/>
          <w:sz w:val="32"/>
          <w:szCs w:val="32"/>
        </w:rPr>
      </w:pPr>
    </w:p>
    <w:p w14:paraId="1037CF15" w14:textId="77777777" w:rsidR="00C7144A" w:rsidRDefault="00C7144A">
      <w:pPr>
        <w:widowControl/>
        <w:ind w:left="1120" w:hangingChars="350" w:hanging="1120"/>
        <w:jc w:val="left"/>
        <w:rPr>
          <w:rFonts w:ascii="黑体" w:eastAsia="黑体" w:hAnsi="黑体"/>
          <w:sz w:val="32"/>
          <w:szCs w:val="32"/>
        </w:rPr>
      </w:pPr>
    </w:p>
    <w:p w14:paraId="48101A57" w14:textId="77777777" w:rsidR="00C7144A" w:rsidRDefault="00C7144A">
      <w:pPr>
        <w:widowControl/>
        <w:ind w:left="1120" w:hangingChars="350" w:hanging="1120"/>
        <w:jc w:val="left"/>
        <w:rPr>
          <w:rFonts w:ascii="黑体" w:eastAsia="黑体" w:hAnsi="黑体"/>
          <w:sz w:val="32"/>
          <w:szCs w:val="32"/>
        </w:rPr>
      </w:pPr>
    </w:p>
    <w:p w14:paraId="2CCF60E9" w14:textId="77777777" w:rsidR="00C7144A" w:rsidRDefault="00C7144A">
      <w:pPr>
        <w:widowControl/>
        <w:ind w:left="1120" w:hangingChars="350" w:hanging="1120"/>
        <w:jc w:val="left"/>
        <w:rPr>
          <w:rFonts w:ascii="黑体" w:eastAsia="黑体" w:hAnsi="黑体"/>
          <w:sz w:val="32"/>
          <w:szCs w:val="32"/>
        </w:rPr>
      </w:pPr>
    </w:p>
    <w:p w14:paraId="2AC5944D" w14:textId="4D3762F6" w:rsidR="00C7144A" w:rsidRDefault="00000000">
      <w:pPr>
        <w:ind w:firstLineChars="0" w:firstLine="0"/>
        <w:jc w:val="center"/>
        <w:rPr>
          <w:rFonts w:ascii="黑体" w:eastAsia="黑体" w:hAnsi="黑体" w:cs="Times New Roman"/>
          <w:sz w:val="30"/>
          <w:szCs w:val="30"/>
        </w:rPr>
      </w:pPr>
      <w:r>
        <w:rPr>
          <w:rFonts w:ascii="黑体" w:eastAsia="黑体" w:hAnsi="黑体" w:cs="Times New Roman" w:hint="eastAsia"/>
          <w:sz w:val="30"/>
          <w:szCs w:val="30"/>
        </w:rPr>
        <w:t>20</w:t>
      </w:r>
      <w:r>
        <w:rPr>
          <w:rFonts w:ascii="黑体" w:eastAsia="黑体" w:hAnsi="黑体" w:cs="Times New Roman"/>
          <w:sz w:val="30"/>
          <w:szCs w:val="30"/>
        </w:rPr>
        <w:t>24</w:t>
      </w:r>
      <w:r>
        <w:rPr>
          <w:rFonts w:ascii="黑体" w:eastAsia="黑体" w:hAnsi="黑体" w:cs="Times New Roman" w:hint="eastAsia"/>
          <w:sz w:val="30"/>
          <w:szCs w:val="30"/>
        </w:rPr>
        <w:t>年第</w:t>
      </w:r>
      <w:r w:rsidR="00F712EE">
        <w:rPr>
          <w:rFonts w:ascii="黑体" w:eastAsia="黑体" w:hAnsi="黑体" w:cs="Times New Roman" w:hint="eastAsia"/>
          <w:sz w:val="30"/>
          <w:szCs w:val="30"/>
        </w:rPr>
        <w:t>7</w:t>
      </w:r>
      <w:r>
        <w:rPr>
          <w:rFonts w:ascii="黑体" w:eastAsia="黑体" w:hAnsi="黑体" w:cs="Times New Roman" w:hint="eastAsia"/>
          <w:sz w:val="30"/>
          <w:szCs w:val="30"/>
        </w:rPr>
        <w:t>期</w:t>
      </w:r>
    </w:p>
    <w:p w14:paraId="78D716A6" w14:textId="21753B62" w:rsidR="00C7144A" w:rsidRDefault="00000000">
      <w:pPr>
        <w:ind w:firstLineChars="0" w:firstLine="0"/>
        <w:jc w:val="center"/>
        <w:rPr>
          <w:rFonts w:ascii="黑体" w:eastAsia="黑体" w:hAnsi="黑体" w:cs="Times New Roman"/>
          <w:sz w:val="30"/>
          <w:szCs w:val="30"/>
        </w:rPr>
      </w:pPr>
      <w:r>
        <w:rPr>
          <w:rFonts w:ascii="黑体" w:eastAsia="黑体" w:hAnsi="黑体" w:cs="Times New Roman" w:hint="eastAsia"/>
          <w:sz w:val="30"/>
          <w:szCs w:val="30"/>
        </w:rPr>
        <w:t>202</w:t>
      </w:r>
      <w:r>
        <w:rPr>
          <w:rFonts w:ascii="黑体" w:eastAsia="黑体" w:hAnsi="黑体" w:cs="Times New Roman"/>
          <w:sz w:val="30"/>
          <w:szCs w:val="30"/>
        </w:rPr>
        <w:t>4</w:t>
      </w:r>
      <w:r>
        <w:rPr>
          <w:rFonts w:ascii="黑体" w:eastAsia="黑体" w:hAnsi="黑体" w:cs="Times New Roman" w:hint="eastAsia"/>
          <w:sz w:val="30"/>
          <w:szCs w:val="30"/>
        </w:rPr>
        <w:t>年</w:t>
      </w:r>
      <w:r w:rsidR="000B3D1F">
        <w:rPr>
          <w:rFonts w:ascii="黑体" w:eastAsia="黑体" w:hAnsi="黑体" w:cs="Times New Roman" w:hint="eastAsia"/>
          <w:sz w:val="30"/>
          <w:szCs w:val="30"/>
        </w:rPr>
        <w:t>4</w:t>
      </w:r>
      <w:r>
        <w:rPr>
          <w:rFonts w:ascii="黑体" w:eastAsia="黑体" w:hAnsi="黑体" w:cs="Times New Roman" w:hint="eastAsia"/>
          <w:sz w:val="30"/>
          <w:szCs w:val="30"/>
        </w:rPr>
        <w:t>月</w:t>
      </w:r>
      <w:r w:rsidR="00F712EE">
        <w:rPr>
          <w:rFonts w:ascii="黑体" w:eastAsia="黑体" w:hAnsi="黑体" w:cs="Times New Roman" w:hint="eastAsia"/>
          <w:sz w:val="30"/>
          <w:szCs w:val="30"/>
        </w:rPr>
        <w:t>1</w:t>
      </w:r>
      <w:r w:rsidR="00DA206C">
        <w:rPr>
          <w:rFonts w:ascii="黑体" w:eastAsia="黑体" w:hAnsi="黑体" w:cs="Times New Roman" w:hint="eastAsia"/>
          <w:sz w:val="30"/>
          <w:szCs w:val="30"/>
        </w:rPr>
        <w:t>6</w:t>
      </w:r>
      <w:r>
        <w:rPr>
          <w:rFonts w:ascii="黑体" w:eastAsia="黑体" w:hAnsi="黑体" w:cs="Times New Roman" w:hint="eastAsia"/>
          <w:sz w:val="30"/>
          <w:szCs w:val="30"/>
        </w:rPr>
        <w:t>日</w:t>
      </w:r>
      <w:r>
        <w:rPr>
          <w:rFonts w:ascii="黑体" w:eastAsia="黑体" w:hAnsi="黑体" w:cs="Times New Roman"/>
          <w:sz w:val="30"/>
          <w:szCs w:val="30"/>
        </w:rPr>
        <w:br w:type="page"/>
      </w:r>
    </w:p>
    <w:p w14:paraId="6E8CE5D9" w14:textId="77777777" w:rsidR="00C7144A" w:rsidRDefault="00000000">
      <w:pPr>
        <w:spacing w:afterLines="50" w:after="156" w:line="360" w:lineRule="auto"/>
        <w:ind w:firstLineChars="0" w:firstLine="0"/>
        <w:jc w:val="center"/>
        <w:rPr>
          <w:rFonts w:ascii="黑体" w:eastAsia="黑体" w:hAnsi="黑体" w:cs="Times New Roman"/>
          <w:bCs/>
          <w:sz w:val="36"/>
          <w:szCs w:val="36"/>
        </w:rPr>
      </w:pPr>
      <w:bookmarkStart w:id="0" w:name="_Hlk95678794"/>
      <w:r>
        <w:rPr>
          <w:rFonts w:ascii="黑体" w:eastAsia="黑体" w:hAnsi="黑体" w:cs="Times New Roman" w:hint="eastAsia"/>
          <w:bCs/>
          <w:sz w:val="36"/>
          <w:szCs w:val="36"/>
        </w:rPr>
        <w:lastRenderedPageBreak/>
        <w:t>重要声明</w:t>
      </w:r>
    </w:p>
    <w:p w14:paraId="2E5AA64D" w14:textId="77777777" w:rsidR="00C7144A" w:rsidRDefault="00000000">
      <w:pPr>
        <w:spacing w:line="360" w:lineRule="auto"/>
        <w:ind w:firstLine="640"/>
        <w:rPr>
          <w:rFonts w:ascii="仿宋" w:eastAsia="仿宋" w:hAnsi="仿宋" w:cs="Times New Roman"/>
          <w:sz w:val="32"/>
          <w:szCs w:val="32"/>
        </w:rPr>
      </w:pPr>
      <w:r>
        <w:rPr>
          <w:rFonts w:ascii="仿宋" w:eastAsia="仿宋" w:hAnsi="仿宋" w:cs="Times New Roman" w:hint="eastAsia"/>
          <w:sz w:val="32"/>
          <w:szCs w:val="32"/>
        </w:rPr>
        <w:t>本刊指定发布渠道为邮件推送和网站</w:t>
      </w:r>
      <w:r>
        <w:rPr>
          <w:rFonts w:ascii="MS Reference Sans Serif" w:eastAsia="仿宋" w:hAnsi="MS Reference Sans Serif" w:cs="Times New Roman" w:hint="eastAsia"/>
          <w:color w:val="FFFFFF"/>
          <w:sz w:val="32"/>
          <w:szCs w:val="32"/>
          <w:highlight w:val="red"/>
        </w:rPr>
        <w:t>IRN.red</w:t>
      </w:r>
      <w:r>
        <w:rPr>
          <w:rFonts w:ascii="仿宋" w:eastAsia="仿宋" w:hAnsi="仿宋" w:cs="Times New Roman" w:hint="eastAsia"/>
          <w:sz w:val="32"/>
          <w:szCs w:val="32"/>
        </w:rPr>
        <w:t>，目前未参与任何社交平台账号的运营与活动。</w:t>
      </w:r>
    </w:p>
    <w:p w14:paraId="66AAA42C" w14:textId="77777777" w:rsidR="00C7144A" w:rsidRDefault="00000000">
      <w:pPr>
        <w:spacing w:line="360" w:lineRule="auto"/>
        <w:ind w:firstLine="640"/>
        <w:rPr>
          <w:rFonts w:ascii="仿宋" w:eastAsia="仿宋" w:hAnsi="仿宋" w:cs="Times New Roman"/>
          <w:sz w:val="32"/>
          <w:szCs w:val="32"/>
        </w:rPr>
      </w:pPr>
      <w:r>
        <w:rPr>
          <w:rFonts w:ascii="仿宋" w:eastAsia="仿宋" w:hAnsi="仿宋" w:cs="Times New Roman" w:hint="eastAsia"/>
          <w:sz w:val="32"/>
          <w:szCs w:val="32"/>
        </w:rPr>
        <w:t>允许在互联网上转载、复制、传播本刊内容，无需授权。转载时建议注明出处：</w:t>
      </w:r>
      <w:r>
        <w:rPr>
          <w:rFonts w:ascii="MS Reference Sans Serif" w:eastAsia="仿宋" w:hAnsi="MS Reference Sans Serif" w:cs="Times New Roman"/>
          <w:color w:val="FFFFFF"/>
          <w:sz w:val="32"/>
          <w:szCs w:val="32"/>
          <w:highlight w:val="red"/>
        </w:rPr>
        <w:t>IRN.red</w:t>
      </w:r>
    </w:p>
    <w:p w14:paraId="3B6921C6" w14:textId="77777777" w:rsidR="00C7144A" w:rsidRDefault="00C7144A">
      <w:pPr>
        <w:spacing w:line="360" w:lineRule="auto"/>
        <w:ind w:firstLine="643"/>
        <w:rPr>
          <w:rFonts w:ascii="Times New Roman" w:eastAsia="仿宋" w:hAnsi="Times New Roman" w:cs="Times New Roman"/>
          <w:b/>
          <w:sz w:val="32"/>
          <w:szCs w:val="32"/>
        </w:rPr>
      </w:pPr>
    </w:p>
    <w:p w14:paraId="4B417116" w14:textId="77777777" w:rsidR="00C7144A" w:rsidRDefault="00000000">
      <w:pPr>
        <w:spacing w:afterLines="50" w:after="156" w:line="360" w:lineRule="auto"/>
        <w:ind w:firstLineChars="0" w:firstLine="0"/>
        <w:jc w:val="center"/>
        <w:rPr>
          <w:rFonts w:ascii="黑体" w:eastAsia="黑体" w:hAnsi="黑体" w:cs="Times New Roman"/>
          <w:bCs/>
          <w:sz w:val="36"/>
          <w:szCs w:val="36"/>
        </w:rPr>
      </w:pPr>
      <w:r>
        <w:rPr>
          <w:rFonts w:ascii="黑体" w:eastAsia="黑体" w:hAnsi="黑体" w:cs="Times New Roman"/>
          <w:bCs/>
          <w:sz w:val="36"/>
          <w:szCs w:val="36"/>
        </w:rPr>
        <w:t>订阅方式</w:t>
      </w:r>
    </w:p>
    <w:p w14:paraId="289C2FC3" w14:textId="77777777" w:rsidR="00C7144A" w:rsidRDefault="00000000">
      <w:pPr>
        <w:spacing w:line="360" w:lineRule="auto"/>
        <w:ind w:firstLine="640"/>
        <w:rPr>
          <w:rFonts w:ascii="仿宋" w:eastAsia="仿宋" w:hAnsi="仿宋" w:cs="Times New Roman"/>
          <w:bCs/>
          <w:sz w:val="32"/>
          <w:szCs w:val="32"/>
        </w:rPr>
      </w:pPr>
      <w:r>
        <w:rPr>
          <w:rFonts w:ascii="仿宋" w:eastAsia="仿宋" w:hAnsi="仿宋" w:cs="Times New Roman" w:hint="eastAsia"/>
          <w:bCs/>
          <w:sz w:val="32"/>
          <w:szCs w:val="32"/>
        </w:rPr>
        <w:t>以下三种方式，选择一种即可：</w:t>
      </w:r>
    </w:p>
    <w:p w14:paraId="0AE10C5B" w14:textId="77777777" w:rsidR="00C7144A" w:rsidRDefault="00000000">
      <w:pPr>
        <w:spacing w:line="360" w:lineRule="auto"/>
        <w:ind w:firstLine="640"/>
        <w:rPr>
          <w:rFonts w:ascii="仿宋" w:eastAsia="仿宋" w:hAnsi="仿宋" w:cs="Times New Roman"/>
          <w:bCs/>
          <w:sz w:val="32"/>
          <w:szCs w:val="32"/>
        </w:rPr>
      </w:pPr>
      <w:r>
        <w:rPr>
          <w:rFonts w:ascii="仿宋" w:eastAsia="仿宋" w:hAnsi="仿宋" w:cs="Times New Roman"/>
          <w:bCs/>
          <w:sz w:val="32"/>
          <w:szCs w:val="32"/>
        </w:rPr>
        <w:t>1.扫描二维码填写您的邮箱</w:t>
      </w:r>
    </w:p>
    <w:p w14:paraId="76A3C198" w14:textId="77777777" w:rsidR="00C7144A" w:rsidRDefault="00000000">
      <w:pPr>
        <w:spacing w:line="360" w:lineRule="auto"/>
        <w:ind w:leftChars="200" w:left="560" w:firstLine="640"/>
        <w:rPr>
          <w:rFonts w:ascii="仿宋" w:eastAsia="仿宋" w:hAnsi="仿宋" w:cs="Times New Roman"/>
          <w:sz w:val="32"/>
          <w:szCs w:val="32"/>
        </w:rPr>
      </w:pPr>
      <w:r>
        <w:rPr>
          <w:rFonts w:ascii="仿宋" w:eastAsia="仿宋" w:hAnsi="仿宋" w:cs="Times New Roman"/>
          <w:noProof/>
          <w:sz w:val="32"/>
          <w:szCs w:val="32"/>
        </w:rPr>
        <w:drawing>
          <wp:inline distT="0" distB="0" distL="0" distR="0" wp14:anchorId="0C8A10E8" wp14:editId="27B74835">
            <wp:extent cx="1355834" cy="1355834"/>
            <wp:effectExtent l="0" t="0" r="0" b="0"/>
            <wp:docPr id="1027" name="图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15"/>
                    <pic:cNvPicPr/>
                  </pic:nvPicPr>
                  <pic:blipFill>
                    <a:blip r:embed="rId10" cstate="print"/>
                    <a:srcRect/>
                    <a:stretch/>
                  </pic:blipFill>
                  <pic:spPr>
                    <a:xfrm>
                      <a:off x="0" y="0"/>
                      <a:ext cx="1355834" cy="1355834"/>
                    </a:xfrm>
                    <a:prstGeom prst="rect">
                      <a:avLst/>
                    </a:prstGeom>
                    <a:ln>
                      <a:noFill/>
                    </a:ln>
                  </pic:spPr>
                </pic:pic>
              </a:graphicData>
            </a:graphic>
          </wp:inline>
        </w:drawing>
      </w:r>
    </w:p>
    <w:p w14:paraId="0346C973" w14:textId="77777777" w:rsidR="00C7144A" w:rsidRDefault="00000000">
      <w:pPr>
        <w:spacing w:line="360" w:lineRule="auto"/>
        <w:ind w:firstLine="640"/>
        <w:rPr>
          <w:rStyle w:val="af"/>
          <w:rFonts w:ascii="仿宋" w:eastAsia="仿宋" w:hAnsi="仿宋" w:cs="Times New Roman"/>
          <w:color w:val="auto"/>
          <w:sz w:val="32"/>
          <w:szCs w:val="32"/>
          <w:u w:val="none"/>
        </w:rPr>
      </w:pPr>
      <w:r>
        <w:rPr>
          <w:rStyle w:val="af"/>
          <w:rFonts w:ascii="仿宋" w:eastAsia="仿宋" w:hAnsi="仿宋" w:cs="Times New Roman"/>
          <w:color w:val="auto"/>
          <w:sz w:val="32"/>
          <w:szCs w:val="32"/>
          <w:u w:val="none"/>
        </w:rPr>
        <w:t>（如无法提交，请在空白处点击再试）</w:t>
      </w:r>
    </w:p>
    <w:p w14:paraId="4DAB038A" w14:textId="77777777" w:rsidR="00C7144A" w:rsidRDefault="00000000">
      <w:pPr>
        <w:spacing w:line="360" w:lineRule="auto"/>
        <w:ind w:firstLine="640"/>
        <w:rPr>
          <w:rFonts w:ascii="仿宋" w:eastAsia="仿宋" w:hAnsi="仿宋" w:cs="Times New Roman"/>
          <w:sz w:val="32"/>
          <w:szCs w:val="32"/>
        </w:rPr>
      </w:pPr>
      <w:r>
        <w:rPr>
          <w:rFonts w:ascii="仿宋" w:eastAsia="仿宋" w:hAnsi="仿宋" w:cs="Times New Roman"/>
          <w:sz w:val="32"/>
          <w:szCs w:val="32"/>
        </w:rPr>
        <w:t>2.进入以下链接填写您的邮箱</w:t>
      </w:r>
    </w:p>
    <w:p w14:paraId="34B398E8" w14:textId="77777777" w:rsidR="00C7144A" w:rsidRDefault="00000000">
      <w:pPr>
        <w:spacing w:line="360" w:lineRule="auto"/>
        <w:ind w:firstLine="560"/>
        <w:rPr>
          <w:rFonts w:ascii="仿宋" w:eastAsia="仿宋" w:hAnsi="仿宋" w:cs="Times New Roman"/>
          <w:bCs/>
          <w:sz w:val="32"/>
          <w:szCs w:val="32"/>
          <w:u w:val="single"/>
        </w:rPr>
      </w:pPr>
      <w:hyperlink r:id="rId11" w:history="1">
        <w:r>
          <w:rPr>
            <w:rFonts w:ascii="仿宋" w:eastAsia="仿宋" w:hAnsi="仿宋"/>
            <w:bCs/>
            <w:sz w:val="32"/>
            <w:szCs w:val="32"/>
            <w:u w:val="single"/>
          </w:rPr>
          <w:t>https://cloud.seatable.cn/dtable/forms/ff203a21-e739-4321-bb63-3d9665873695/</w:t>
        </w:r>
      </w:hyperlink>
    </w:p>
    <w:p w14:paraId="68FDC99B" w14:textId="77777777" w:rsidR="00C7144A" w:rsidRDefault="00000000">
      <w:pPr>
        <w:spacing w:line="360" w:lineRule="auto"/>
        <w:ind w:firstLine="640"/>
        <w:rPr>
          <w:rStyle w:val="af"/>
          <w:rFonts w:ascii="Times New Roman" w:eastAsia="仿宋" w:hAnsi="Times New Roman" w:cs="Times New Roman"/>
          <w:color w:val="auto"/>
          <w:sz w:val="32"/>
          <w:szCs w:val="32"/>
          <w:u w:val="none"/>
        </w:rPr>
      </w:pPr>
      <w:r>
        <w:rPr>
          <w:rStyle w:val="af"/>
          <w:rFonts w:ascii="仿宋" w:eastAsia="仿宋" w:hAnsi="仿宋" w:cs="Times New Roman"/>
          <w:color w:val="auto"/>
          <w:sz w:val="32"/>
          <w:szCs w:val="32"/>
          <w:u w:val="none"/>
        </w:rPr>
        <w:t>3.用您的邮箱发送“订阅”至irn3000@outlook.com</w:t>
      </w:r>
      <w:r>
        <w:rPr>
          <w:rStyle w:val="af"/>
          <w:rFonts w:ascii="Times New Roman" w:eastAsia="仿宋" w:hAnsi="Times New Roman" w:cs="Times New Roman"/>
          <w:color w:val="auto"/>
          <w:sz w:val="32"/>
          <w:szCs w:val="32"/>
          <w:u w:val="none"/>
        </w:rPr>
        <w:br w:type="page"/>
      </w:r>
    </w:p>
    <w:p w14:paraId="6B2C2A87" w14:textId="77777777" w:rsidR="00C7144A" w:rsidRDefault="00C7144A">
      <w:pPr>
        <w:spacing w:line="360" w:lineRule="auto"/>
        <w:ind w:firstLineChars="300" w:firstLine="960"/>
        <w:rPr>
          <w:rStyle w:val="af"/>
          <w:rFonts w:ascii="Times New Roman" w:eastAsia="仿宋" w:hAnsi="Times New Roman" w:cs="Times New Roman"/>
          <w:color w:val="auto"/>
          <w:sz w:val="32"/>
          <w:szCs w:val="32"/>
          <w:u w:val="none"/>
        </w:rPr>
        <w:sectPr w:rsidR="00C7144A" w:rsidSect="001A055E">
          <w:headerReference w:type="even" r:id="rId12"/>
          <w:headerReference w:type="default" r:id="rId13"/>
          <w:footerReference w:type="even" r:id="rId14"/>
          <w:footerReference w:type="default" r:id="rId15"/>
          <w:headerReference w:type="first" r:id="rId16"/>
          <w:footnotePr>
            <w:numRestart w:val="eachSect"/>
          </w:footnotePr>
          <w:pgSz w:w="10318" w:h="14570"/>
          <w:pgMar w:top="1440" w:right="1080" w:bottom="1440" w:left="1080" w:header="851" w:footer="992" w:gutter="0"/>
          <w:pgNumType w:fmt="numberInDash" w:start="1"/>
          <w:cols w:space="425"/>
          <w:docGrid w:type="lines" w:linePitch="312"/>
        </w:sectPr>
      </w:pPr>
    </w:p>
    <w:p w14:paraId="620C5568" w14:textId="77777777" w:rsidR="00DA206C" w:rsidRDefault="00DA206C" w:rsidP="00DA206C">
      <w:pPr>
        <w:pStyle w:val="1"/>
      </w:pPr>
      <w:bookmarkStart w:id="1" w:name="_Toc24741"/>
      <w:bookmarkStart w:id="2" w:name="_Hlk120642218"/>
      <w:bookmarkStart w:id="3" w:name="_Hlk110724951"/>
      <w:bookmarkStart w:id="4" w:name="_Hlk114943609"/>
      <w:bookmarkStart w:id="5" w:name="_Hlk118638770"/>
      <w:bookmarkStart w:id="6" w:name="_Hlk105347307"/>
      <w:bookmarkStart w:id="7" w:name="_Toc164197983"/>
      <w:bookmarkEnd w:id="0"/>
      <w:r>
        <w:rPr>
          <w:rFonts w:ascii="黑体" w:eastAsia="黑体" w:hAnsi="黑体" w:hint="eastAsia"/>
          <w:szCs w:val="36"/>
        </w:rPr>
        <w:lastRenderedPageBreak/>
        <w:t>法国《人民事业》评巴勒斯坦解放斗争</w:t>
      </w:r>
      <w:bookmarkEnd w:id="1"/>
      <w:bookmarkEnd w:id="7"/>
    </w:p>
    <w:p w14:paraId="0E3564A1" w14:textId="77777777" w:rsidR="00DA206C" w:rsidRDefault="00DA206C" w:rsidP="00DA206C">
      <w:pPr>
        <w:ind w:firstLineChars="0" w:firstLine="0"/>
        <w:jc w:val="center"/>
      </w:pPr>
      <w:r>
        <w:rPr>
          <w:noProof/>
        </w:rPr>
        <w:drawing>
          <wp:inline distT="0" distB="0" distL="0" distR="0" wp14:anchorId="5A4A6A34" wp14:editId="404009FC">
            <wp:extent cx="5148000" cy="1260000"/>
            <wp:effectExtent l="0" t="0" r="0" b="0"/>
            <wp:docPr id="10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17" cstate="print"/>
                    <a:srcRect l="13259" r="10897"/>
                    <a:stretch/>
                  </pic:blipFill>
                  <pic:spPr>
                    <a:xfrm>
                      <a:off x="0" y="0"/>
                      <a:ext cx="5148000" cy="1260000"/>
                    </a:xfrm>
                    <a:prstGeom prst="rect">
                      <a:avLst/>
                    </a:prstGeom>
                    <a:ln>
                      <a:noFill/>
                    </a:ln>
                  </pic:spPr>
                </pic:pic>
              </a:graphicData>
            </a:graphic>
          </wp:inline>
        </w:drawing>
      </w:r>
    </w:p>
    <w:p w14:paraId="316232E8" w14:textId="77777777" w:rsidR="00DA206C" w:rsidRDefault="00DA206C" w:rsidP="00DA206C">
      <w:pPr>
        <w:spacing w:before="24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来源：</w:t>
      </w:r>
      <w:r>
        <w:rPr>
          <w:rFonts w:ascii="Times New Roman" w:eastAsia="仿宋" w:hAnsi="Times New Roman" w:cs="Times New Roman" w:hint="eastAsia"/>
          <w:szCs w:val="28"/>
        </w:rPr>
        <w:t>法国“人民事业”网站</w:t>
      </w:r>
    </w:p>
    <w:p w14:paraId="1F47AD86" w14:textId="77777777" w:rsidR="00DA206C" w:rsidRDefault="00DA206C" w:rsidP="00DA206C">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日期：</w:t>
      </w:r>
      <w:r>
        <w:rPr>
          <w:rFonts w:ascii="Times New Roman" w:eastAsia="仿宋" w:hAnsi="Times New Roman" w:cs="Times New Roman"/>
          <w:szCs w:val="28"/>
        </w:rPr>
        <w:t>2024</w:t>
      </w:r>
      <w:r>
        <w:rPr>
          <w:rFonts w:ascii="Times New Roman" w:eastAsia="仿宋" w:hAnsi="Times New Roman" w:cs="Times New Roman"/>
          <w:szCs w:val="28"/>
        </w:rPr>
        <w:t>年</w:t>
      </w:r>
      <w:r>
        <w:rPr>
          <w:rFonts w:ascii="Times New Roman" w:eastAsia="仿宋" w:hAnsi="Times New Roman" w:cs="Times New Roman" w:hint="eastAsia"/>
          <w:szCs w:val="28"/>
        </w:rPr>
        <w:t>1</w:t>
      </w:r>
      <w:r>
        <w:rPr>
          <w:rFonts w:ascii="Times New Roman" w:eastAsia="仿宋" w:hAnsi="Times New Roman" w:cs="Times New Roman"/>
          <w:szCs w:val="28"/>
        </w:rPr>
        <w:t>月</w:t>
      </w:r>
      <w:r>
        <w:rPr>
          <w:rFonts w:ascii="Times New Roman" w:eastAsia="仿宋" w:hAnsi="Times New Roman" w:cs="Times New Roman" w:hint="eastAsia"/>
          <w:szCs w:val="28"/>
        </w:rPr>
        <w:t>12</w:t>
      </w:r>
      <w:r>
        <w:rPr>
          <w:rFonts w:ascii="Times New Roman" w:eastAsia="仿宋" w:hAnsi="Times New Roman" w:cs="Times New Roman" w:hint="eastAsia"/>
          <w:szCs w:val="28"/>
        </w:rPr>
        <w:t>日</w:t>
      </w:r>
    </w:p>
    <w:p w14:paraId="1BD8ACD9" w14:textId="77777777" w:rsidR="00DA206C" w:rsidRDefault="00DA206C" w:rsidP="00DA206C">
      <w:pPr>
        <w:spacing w:before="120" w:after="240" w:line="360" w:lineRule="exact"/>
        <w:ind w:firstLine="560"/>
        <w:jc w:val="left"/>
        <w:rPr>
          <w:rStyle w:val="af"/>
          <w:rFonts w:ascii="Times New Roman" w:eastAsia="仿宋" w:hAnsi="Times New Roman" w:cs="Times New Roman"/>
          <w:szCs w:val="28"/>
        </w:rPr>
      </w:pPr>
      <w:r>
        <w:rPr>
          <w:rFonts w:ascii="Times New Roman" w:eastAsia="仿宋" w:hAnsi="Times New Roman" w:cs="Times New Roman"/>
          <w:szCs w:val="28"/>
        </w:rPr>
        <w:t>链接</w:t>
      </w:r>
      <w:r>
        <w:rPr>
          <w:rFonts w:ascii="Times New Roman" w:eastAsia="仿宋" w:hAnsi="Times New Roman" w:cs="Times New Roman" w:hint="eastAsia"/>
          <w:szCs w:val="28"/>
        </w:rPr>
        <w:t>：</w:t>
      </w:r>
      <w:hyperlink r:id="rId18" w:history="1">
        <w:r>
          <w:rPr>
            <w:rStyle w:val="af"/>
            <w:rFonts w:ascii="Times New Roman" w:eastAsia="仿宋" w:hAnsi="Times New Roman" w:cs="Times New Roman"/>
            <w:szCs w:val="28"/>
          </w:rPr>
          <w:t>https://www.causedupeuple.org/2024/01/12/theorie-comment-les-opprimes-peuvent-ils-se-liberer-breve-presentation-de-la-guerre-populaire/</w:t>
        </w:r>
      </w:hyperlink>
    </w:p>
    <w:p w14:paraId="626BB907" w14:textId="77777777" w:rsidR="00DA206C" w:rsidRDefault="00DA206C" w:rsidP="00DA206C">
      <w:pPr>
        <w:spacing w:before="60" w:after="60" w:line="480" w:lineRule="exact"/>
        <w:ind w:firstLineChars="0" w:firstLine="0"/>
        <w:jc w:val="center"/>
        <w:rPr>
          <w:rFonts w:ascii="黑体" w:eastAsia="黑体" w:hAnsi="黑体"/>
          <w:sz w:val="32"/>
          <w:szCs w:val="32"/>
        </w:rPr>
      </w:pPr>
      <w:r>
        <w:rPr>
          <w:rFonts w:ascii="黑体" w:eastAsia="黑体" w:hAnsi="黑体" w:hint="eastAsia"/>
          <w:sz w:val="32"/>
          <w:szCs w:val="32"/>
        </w:rPr>
        <w:t>被压迫者如何才能解放自己？人民战争简述</w:t>
      </w:r>
    </w:p>
    <w:p w14:paraId="59A62439"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发生在巴勒斯坦的战争，又一次把“被压迫者如何才能解放自己”的问题摆上台前。更具体地说，在这一具体情境中，巴勒斯坦人民如何才能赢得民族解放？</w:t>
      </w:r>
    </w:p>
    <w:p w14:paraId="55C88103"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对这个问题，资产阶级的所有派别和运动总是回答说：分析到底，各国人民无法解放自己。资产阶级的所有解决方案最终都无法让人民自我解放。比方说，对巴勒斯坦而言，寻求和平协议的战略（如1</w:t>
      </w:r>
      <w:r>
        <w:rPr>
          <w:rFonts w:ascii="宋体" w:hAnsi="宋体"/>
          <w:sz w:val="32"/>
          <w:szCs w:val="32"/>
        </w:rPr>
        <w:t>993</w:t>
      </w:r>
      <w:r>
        <w:rPr>
          <w:rFonts w:ascii="宋体" w:hAnsi="宋体" w:hint="eastAsia"/>
          <w:sz w:val="32"/>
          <w:szCs w:val="32"/>
        </w:rPr>
        <w:t>年的《奥斯陆协定》）只是催生了一个十分无能的“巴勒斯坦民族权力机构”。那些想要依靠国际法、依靠联合国或利用一个帝国主义势力（美国、俄罗斯等）来反对另一个帝国主义势力的资产者们的解决方案显然十分无力。2</w:t>
      </w:r>
      <w:r>
        <w:rPr>
          <w:rFonts w:ascii="宋体" w:hAnsi="宋体"/>
          <w:sz w:val="32"/>
          <w:szCs w:val="32"/>
        </w:rPr>
        <w:t>023</w:t>
      </w:r>
      <w:r>
        <w:rPr>
          <w:rFonts w:ascii="宋体" w:hAnsi="宋体" w:hint="eastAsia"/>
          <w:sz w:val="32"/>
          <w:szCs w:val="32"/>
        </w:rPr>
        <w:t>年，某些记者和鼓动家</w:t>
      </w:r>
      <w:r>
        <w:rPr>
          <w:rFonts w:ascii="宋体" w:hAnsi="宋体" w:hint="eastAsia"/>
          <w:sz w:val="32"/>
          <w:szCs w:val="32"/>
        </w:rPr>
        <w:lastRenderedPageBreak/>
        <w:t>大谈“两国方案”，然而巴勒斯坦人对这种骗局嗤之以鼻。这些领袖人物已经背叛了以巴勒斯坦人民为首的各国人民，正是自诩为人民保卫者的那群人设置了人民解放道路上的重重障碍。</w:t>
      </w:r>
    </w:p>
    <w:p w14:paraId="080A35EC"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因此，被压迫者只能开展武装斗争，通过战争获得解放。这正是巴勒斯的历史道路：7</w:t>
      </w:r>
      <w:r>
        <w:rPr>
          <w:rFonts w:ascii="宋体" w:hAnsi="宋体"/>
          <w:sz w:val="32"/>
          <w:szCs w:val="32"/>
        </w:rPr>
        <w:t>0</w:t>
      </w:r>
      <w:r>
        <w:rPr>
          <w:rFonts w:ascii="宋体" w:hAnsi="宋体" w:hint="eastAsia"/>
          <w:sz w:val="32"/>
          <w:szCs w:val="32"/>
        </w:rPr>
        <w:t>年来，游击队（Fedayin）充实了抵抗的队伍。伟大的俄国革命家列宁曾写道：“马克思主义者决不能把国内战争，或者作为国内战争形式之一的游击战争，笼统地看成反常的、会败坏风纪的现象。马克思主义者是主张阶级斗争的，而不</w:t>
      </w:r>
      <w:r>
        <w:rPr>
          <w:rFonts w:ascii="宋体" w:hAnsi="宋体"/>
          <w:sz w:val="32"/>
          <w:szCs w:val="32"/>
        </w:rPr>
        <w:t>是主张社会和平的。</w:t>
      </w:r>
      <w:r>
        <w:rPr>
          <w:rFonts w:ascii="宋体" w:hAnsi="宋体" w:hint="eastAsia"/>
          <w:sz w:val="32"/>
          <w:szCs w:val="32"/>
        </w:rPr>
        <w:t>在尖锐的经济危机和政治危机的一定时期，阶级斗争就会径直发展成为国内战争，即两部分人之间的武装斗争。在这样的时期，马克思主义者应该坚持国内战争的观点。从马克思主义的观点来看，对国内战争作任何道义上的谴责，都是完全不能容许的。”</w:t>
      </w:r>
      <w:r>
        <w:rPr>
          <w:rStyle w:val="af0"/>
          <w:rFonts w:ascii="宋体" w:hAnsi="宋体"/>
          <w:sz w:val="32"/>
          <w:szCs w:val="32"/>
        </w:rPr>
        <w:footnoteReference w:customMarkFollows="1" w:id="1"/>
        <w:t>[1]</w:t>
      </w:r>
      <w:r>
        <w:rPr>
          <w:rFonts w:ascii="宋体" w:hAnsi="宋体" w:hint="eastAsia"/>
          <w:sz w:val="32"/>
          <w:szCs w:val="32"/>
        </w:rPr>
        <w:t>在巴勒斯坦的情形中，这场战争虽然是民族解放战争而不是国内战争，但是可以在同样的基础上对这场战争加以理解。</w:t>
      </w:r>
    </w:p>
    <w:p w14:paraId="0AC34C72"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这正是被压迫者对压迫的回应——对帝国主义者、占领者及其合作者宣战。在此意义上，这是一场革命战争、正义战争，因为战争的目的是解放被压迫者。另一方面，帝国主义者及其走狗发动的战争（如近2</w:t>
      </w:r>
      <w:r>
        <w:rPr>
          <w:rFonts w:ascii="宋体" w:hAnsi="宋体"/>
          <w:sz w:val="32"/>
          <w:szCs w:val="32"/>
        </w:rPr>
        <w:t>0</w:t>
      </w:r>
      <w:r>
        <w:rPr>
          <w:rFonts w:ascii="宋体" w:hAnsi="宋体" w:hint="eastAsia"/>
          <w:sz w:val="32"/>
          <w:szCs w:val="32"/>
        </w:rPr>
        <w:t>年中的伊拉克、阿富汗、利比亚战争）则是非正义战争，因为这些战争是</w:t>
      </w:r>
      <w:r>
        <w:rPr>
          <w:rFonts w:ascii="宋体" w:hAnsi="宋体" w:hint="eastAsia"/>
          <w:sz w:val="32"/>
          <w:szCs w:val="32"/>
        </w:rPr>
        <w:lastRenderedPageBreak/>
        <w:t>为了加剧压迫，为了让各方帝国主义者瓜分世界。</w:t>
      </w:r>
    </w:p>
    <w:p w14:paraId="01585D40" w14:textId="77777777" w:rsidR="00DA206C" w:rsidRDefault="00DA206C" w:rsidP="00DA206C">
      <w:pPr>
        <w:spacing w:before="60" w:after="60" w:line="480" w:lineRule="exact"/>
        <w:ind w:firstLine="640"/>
        <w:rPr>
          <w:rFonts w:ascii="黑体" w:eastAsia="黑体" w:hAnsi="黑体"/>
          <w:sz w:val="32"/>
          <w:szCs w:val="32"/>
        </w:rPr>
      </w:pPr>
      <w:r>
        <w:rPr>
          <w:rFonts w:ascii="黑体" w:eastAsia="黑体" w:hAnsi="黑体" w:hint="eastAsia"/>
          <w:sz w:val="32"/>
          <w:szCs w:val="32"/>
        </w:rPr>
        <w:t>1、革命战争的战略和战术</w:t>
      </w:r>
    </w:p>
    <w:p w14:paraId="35FE1DB1"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在这一板块，我们将以巴勒斯坦为例，非常笼统地讨论这个问题。一切战争的最根本原则就是消灭敌人的力量、保存自己的力量。为了在实践中把这一原则与战争的政治目标（在巴勒斯坦的情形中，就是解放国家）结合起来，就要使用“战略”这门学问。战略的目的是了解军事规律，让其全方面地指明战争的方向。战术的目的则是把战略应用于实地、应用到行动中。</w:t>
      </w:r>
    </w:p>
    <w:p w14:paraId="70C5E70A"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在巴勒斯坦，可以采取什么战略和战术呢？基于中国抗日战争的经验，毛主席曾作出如下论断：“你打你的，我打我的；</w:t>
      </w:r>
      <w:r>
        <w:rPr>
          <w:rFonts w:ascii="宋体" w:hAnsi="宋体"/>
          <w:sz w:val="32"/>
          <w:szCs w:val="32"/>
        </w:rPr>
        <w:t>打得赢就打，打不赢就走。</w:t>
      </w:r>
      <w:r>
        <w:rPr>
          <w:rFonts w:ascii="宋体" w:hAnsi="宋体" w:hint="eastAsia"/>
          <w:sz w:val="32"/>
          <w:szCs w:val="32"/>
        </w:rPr>
        <w:t>这就是说，你依靠现代化的武器，我依靠有高度革命觉悟的人民群众……这种战略战术，只有依靠广大的人民群众才能实行。而实行这样的战略战术，就能充分发挥人民战争的优越性。不管敌人在技术装备上有什么优势，不管敌人采取什么办法来对付我们，它只能处于被动挨打的地位，主动权就始终在我们手里。”</w:t>
      </w:r>
      <w:r>
        <w:rPr>
          <w:rStyle w:val="af0"/>
          <w:rFonts w:ascii="宋体" w:hAnsi="宋体"/>
          <w:sz w:val="32"/>
          <w:szCs w:val="32"/>
        </w:rPr>
        <w:footnoteReference w:customMarkFollows="1" w:id="2"/>
        <w:t>[2]</w:t>
      </w:r>
    </w:p>
    <w:p w14:paraId="733D6AD5"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今天巴勒斯坦的情况难道不是很相似吗？以色列军队是装备精良的现代化军队，然而成千上万的战士和几十万群众仍在继续斗争。毛主席解释道：“国家要独立，民族要</w:t>
      </w:r>
      <w:r>
        <w:rPr>
          <w:rFonts w:ascii="宋体" w:hAnsi="宋体" w:hint="eastAsia"/>
          <w:sz w:val="32"/>
          <w:szCs w:val="32"/>
        </w:rPr>
        <w:lastRenderedPageBreak/>
        <w:t>解放，人民要革命。”</w:t>
      </w:r>
      <w:r>
        <w:rPr>
          <w:rStyle w:val="af0"/>
          <w:rFonts w:ascii="宋体" w:hAnsi="宋体"/>
          <w:sz w:val="32"/>
          <w:szCs w:val="32"/>
        </w:rPr>
        <w:footnoteReference w:customMarkFollows="1" w:id="3"/>
        <w:t>[3]</w:t>
      </w:r>
    </w:p>
    <w:p w14:paraId="1638657E"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在战术层面，最根本的战术是游击战，即基层战争的形式。游击战是“小型战争”，相比于大型正规军，游击团体规模更小、更非正规、更脆弱。游击战的原则可以总结为：“敌进我退、敌驻我扰、敌疲我打、敌退我追”。</w:t>
      </w:r>
    </w:p>
    <w:p w14:paraId="0C9A4CD9"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许多被压迫民族都应用过游击战。中国、阿尔及利亚和越南是大家熟知的例子。然而我们也要记得，在第二次世界大战期间（1</w:t>
      </w:r>
      <w:r>
        <w:rPr>
          <w:rFonts w:ascii="宋体" w:hAnsi="宋体"/>
          <w:sz w:val="32"/>
          <w:szCs w:val="32"/>
        </w:rPr>
        <w:t>939</w:t>
      </w:r>
      <w:r>
        <w:rPr>
          <w:rFonts w:ascii="宋体" w:hAnsi="宋体" w:hint="eastAsia"/>
          <w:sz w:val="32"/>
          <w:szCs w:val="32"/>
        </w:rPr>
        <w:t>年至19</w:t>
      </w:r>
      <w:r>
        <w:rPr>
          <w:rFonts w:ascii="宋体" w:hAnsi="宋体"/>
          <w:sz w:val="32"/>
          <w:szCs w:val="32"/>
        </w:rPr>
        <w:t>45</w:t>
      </w:r>
      <w:r>
        <w:rPr>
          <w:rFonts w:ascii="宋体" w:hAnsi="宋体" w:hint="eastAsia"/>
          <w:sz w:val="32"/>
          <w:szCs w:val="32"/>
        </w:rPr>
        <w:t>年），在全欧洲，从法国到波兰再到苏联，都在以“游击队战争”的名义应用这种战术。</w:t>
      </w:r>
    </w:p>
    <w:p w14:paraId="1682CB8B"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在巴勒斯坦，游击战直到今天仍然有用武之地。西岸地区的村庄和城市小巷成了战士们的庇护所。在加沙，在以色列军队入侵期间，人们用小喇叭播放异常噪音，来吸引以军进入布好埋伏的街道并伏击他们。加沙城也以其著名的地道网络而闻名。战士们可以从地道中钻出来作战，也可以进入地道躲藏。</w:t>
      </w:r>
    </w:p>
    <w:p w14:paraId="32C75B81"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仅靠游击战争是不足以让己方取胜的。只有通过使用更传统的战争形式——运动战（即用更大的正规武装力量占据地盘）和阵地战（即进攻和防御城市等特定地点），才能赢得战争。然而，对各国被压迫民族而言，游击战是最根本的战法，因为人民在斗争初期还没有足够强大、能够</w:t>
      </w:r>
      <w:r>
        <w:rPr>
          <w:rFonts w:ascii="宋体" w:hAnsi="宋体" w:hint="eastAsia"/>
          <w:sz w:val="32"/>
          <w:szCs w:val="32"/>
        </w:rPr>
        <w:lastRenderedPageBreak/>
        <w:t>击溃敌人的军队。人民一开始总是弱小的，然而人民可以通过游击战来扩大自己的抵抗，扩大自己的行动规模，直到发展出更复杂的斗争形式。</w:t>
      </w:r>
    </w:p>
    <w:p w14:paraId="250E2CB2" w14:textId="77777777" w:rsidR="00DA206C" w:rsidRDefault="00DA206C" w:rsidP="00DA206C">
      <w:pPr>
        <w:spacing w:before="60" w:after="60" w:line="480" w:lineRule="exact"/>
        <w:ind w:firstLine="640"/>
        <w:rPr>
          <w:rFonts w:ascii="黑体" w:eastAsia="黑体" w:hAnsi="黑体"/>
          <w:sz w:val="32"/>
          <w:szCs w:val="32"/>
        </w:rPr>
      </w:pPr>
      <w:r>
        <w:rPr>
          <w:rFonts w:ascii="黑体" w:eastAsia="黑体" w:hAnsi="黑体" w:hint="eastAsia"/>
          <w:sz w:val="32"/>
          <w:szCs w:val="32"/>
        </w:rPr>
        <w:t>2、人民战争</w:t>
      </w:r>
    </w:p>
    <w:p w14:paraId="2BD5716C"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那么，巴勒斯坦缺少什么呢？如果游击战的战术已经扎根于人民的斗争，而且群众也已在参与这场斗争，那么怎样才能赢得胜利呢？</w:t>
      </w:r>
    </w:p>
    <w:p w14:paraId="366CFE06"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问题的关键是，人民战争不仅是军事方面的战略，而且还具有很重要的政治内容。秘鲁共产党曾解释说，为了开展人民战争，必须注意到四个问题：（</w:t>
      </w:r>
      <w:r>
        <w:rPr>
          <w:rFonts w:ascii="宋体" w:hAnsi="宋体"/>
          <w:sz w:val="32"/>
          <w:szCs w:val="32"/>
        </w:rPr>
        <w:t>1</w:t>
      </w:r>
      <w:r>
        <w:rPr>
          <w:rFonts w:ascii="宋体" w:hAnsi="宋体" w:hint="eastAsia"/>
          <w:sz w:val="32"/>
          <w:szCs w:val="32"/>
        </w:rPr>
        <w:t>）无产阶级意识形态；（2）共产党；（3）人民战争的具体情况；（4）我们所依赖的基础。</w:t>
      </w:r>
    </w:p>
    <w:p w14:paraId="0E59F217"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在巴勒斯坦，人民每天都在为解放而抛洒热血。这是客观事实：巴勒斯坦人民——不仅是战士们，还有几十万老少群众——被轰炸、被驱逐、被军队或殖民者攻击，命悬一线。</w:t>
      </w:r>
    </w:p>
    <w:p w14:paraId="2BA921E4"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他们的英勇牺牲鼓舞了全世界人民。以色列针对加沙的行动激起几百万人反抗这种不公和野蛮，就是很好的例证。</w:t>
      </w:r>
    </w:p>
    <w:p w14:paraId="1285F0E3"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然而，如果没有上面列举的四个要素，巴勒斯坦民族解放运动就无法进步。如果没有无产阶级意识形态、无产阶级战斗组织、共产党等要素，那么帝国主义者和资产阶级叛徒们几十年来制造的同一种障碍仍有可能击垮巴勒斯</w:t>
      </w:r>
      <w:r>
        <w:rPr>
          <w:rFonts w:ascii="宋体" w:hAnsi="宋体" w:hint="eastAsia"/>
          <w:sz w:val="32"/>
          <w:szCs w:val="32"/>
        </w:rPr>
        <w:lastRenderedPageBreak/>
        <w:t>坦解放运动。“红色信使”（</w:t>
      </w:r>
      <w:r>
        <w:rPr>
          <w:rFonts w:ascii="宋体" w:hAnsi="宋体"/>
          <w:sz w:val="32"/>
          <w:szCs w:val="32"/>
        </w:rPr>
        <w:t>Red Herald</w:t>
      </w:r>
      <w:r>
        <w:rPr>
          <w:rFonts w:ascii="宋体" w:hAnsi="宋体" w:hint="eastAsia"/>
          <w:sz w:val="32"/>
          <w:szCs w:val="32"/>
        </w:rPr>
        <w:t>）网站曾发布过一段阿拉伯文字：“我们在多个阵线上见证了阿拉伯群众全方面的自发起义，他们采取了武装斗争的道路，在斗争中，他们一次又一次地拿起武器、使用武力、枪支，采取战术。不过，最大的缺点仍然是没有无产阶级的领导，即没有一个真正的共产党。”</w:t>
      </w:r>
    </w:p>
    <w:p w14:paraId="3776EBC3"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人民战争是真正的群众战争：资产阶级或小资产阶级无法领导和赢得人民战争。人民战争必然胜利，因为只有这一战略能够代表目前这个历史时期正在崛起的阶级——无产阶级。无产阶级是唯一一个人民在任何情况下都可以依靠的阶级，不管是面对种族灭绝、大屠杀还是狂轰滥炸。</w:t>
      </w:r>
    </w:p>
    <w:p w14:paraId="683F73A0"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在当下，面对类似以色列军队的这种战术，面对无人机、包围圈和狂轰滥炸，人民战争就和其他一切类型的起义区分开来了。今年，印度巴斯塔（Bastar）地区的丛林遭到飞机和直升机轰炸，村民受到袭击。但近十年来，游击队成功摧毁了许多军用直升机，这就是人民对此类进攻行为的回应。革命者从不对更强大的敌人投降，相反，他们进一步深入群众，与群众融为一体，发动反攻。</w:t>
      </w:r>
    </w:p>
    <w:p w14:paraId="6543AE85"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因此，我们现在可以回答一开始提出的问题了：被压迫者如何解放自己？巴勒斯坦人民选择了抵抗的道路、游击战的道路。他们为其他各民族人民，为所有需要选择“走哪条道路赢得解放”的被压迫者树立了榜样。和世界各民族人民一样，为了赢得胜利，巴勒斯坦人民的不可战</w:t>
      </w:r>
      <w:r>
        <w:rPr>
          <w:rFonts w:ascii="宋体" w:hAnsi="宋体" w:hint="eastAsia"/>
          <w:sz w:val="32"/>
          <w:szCs w:val="32"/>
        </w:rPr>
        <w:lastRenderedPageBreak/>
        <w:t>胜的武器就是人民战争，这是唯一能够展现组织起来、武装起来的群众的全能力量的道路。</w:t>
      </w:r>
    </w:p>
    <w:p w14:paraId="708B05A5" w14:textId="77777777" w:rsidR="00DA206C" w:rsidRDefault="00DA206C" w:rsidP="00DA206C">
      <w:pPr>
        <w:widowControl/>
        <w:spacing w:line="240" w:lineRule="auto"/>
        <w:ind w:firstLineChars="0" w:firstLine="0"/>
        <w:jc w:val="left"/>
        <w:rPr>
          <w:rFonts w:ascii="宋体" w:hAnsi="宋体"/>
          <w:sz w:val="32"/>
          <w:szCs w:val="32"/>
        </w:rPr>
      </w:pPr>
      <w:r>
        <w:rPr>
          <w:rFonts w:ascii="宋体" w:hAnsi="宋体"/>
          <w:sz w:val="32"/>
          <w:szCs w:val="32"/>
        </w:rPr>
        <w:br w:type="page"/>
      </w:r>
    </w:p>
    <w:p w14:paraId="20648946" w14:textId="77777777" w:rsidR="00DA206C" w:rsidRDefault="00DA206C" w:rsidP="00DA206C">
      <w:pPr>
        <w:pStyle w:val="1"/>
        <w:rPr>
          <w:rFonts w:ascii="黑体" w:eastAsia="黑体" w:hAnsi="黑体"/>
          <w:szCs w:val="36"/>
        </w:rPr>
      </w:pPr>
      <w:bookmarkStart w:id="8" w:name="_Toc6367"/>
      <w:bookmarkStart w:id="9" w:name="_Toc164197984"/>
      <w:r>
        <w:rPr>
          <w:rFonts w:ascii="黑体" w:eastAsia="黑体" w:hAnsi="黑体" w:hint="eastAsia"/>
          <w:szCs w:val="36"/>
        </w:rPr>
        <w:lastRenderedPageBreak/>
        <w:t>法国革命共产党评乌克兰战争两周年</w:t>
      </w:r>
      <w:bookmarkEnd w:id="8"/>
      <w:bookmarkEnd w:id="9"/>
    </w:p>
    <w:p w14:paraId="4BF2FF7F" w14:textId="77777777" w:rsidR="00DA206C" w:rsidRDefault="00DA206C" w:rsidP="001474EA">
      <w:pPr>
        <w:ind w:firstLineChars="0" w:firstLine="0"/>
        <w:jc w:val="center"/>
      </w:pPr>
      <w:r>
        <w:rPr>
          <w:noProof/>
        </w:rPr>
        <w:drawing>
          <wp:inline distT="0" distB="0" distL="0" distR="0" wp14:anchorId="70F6EB55" wp14:editId="6C7FC6C0">
            <wp:extent cx="5148000" cy="874800"/>
            <wp:effectExtent l="0" t="0" r="0" b="0"/>
            <wp:docPr id="10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pic:nvPicPr>
                  <pic:blipFill>
                    <a:blip r:embed="rId19" cstate="print"/>
                    <a:srcRect/>
                    <a:stretch/>
                  </pic:blipFill>
                  <pic:spPr>
                    <a:xfrm>
                      <a:off x="0" y="0"/>
                      <a:ext cx="5148000" cy="874800"/>
                    </a:xfrm>
                    <a:prstGeom prst="rect">
                      <a:avLst/>
                    </a:prstGeom>
                  </pic:spPr>
                </pic:pic>
              </a:graphicData>
            </a:graphic>
          </wp:inline>
        </w:drawing>
      </w:r>
    </w:p>
    <w:p w14:paraId="44408666" w14:textId="77777777" w:rsidR="00DA206C" w:rsidRDefault="00DA206C" w:rsidP="00DA206C">
      <w:pPr>
        <w:spacing w:before="24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来源</w:t>
      </w:r>
      <w:r>
        <w:rPr>
          <w:rFonts w:ascii="Times New Roman" w:eastAsia="仿宋" w:hAnsi="Times New Roman" w:cs="Times New Roman" w:hint="eastAsia"/>
          <w:szCs w:val="28"/>
        </w:rPr>
        <w:t>：法国革命共产党网站</w:t>
      </w:r>
    </w:p>
    <w:p w14:paraId="7A70DA08" w14:textId="77777777" w:rsidR="00DA206C" w:rsidRDefault="00DA206C" w:rsidP="00DA206C">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日期</w:t>
      </w:r>
      <w:r>
        <w:rPr>
          <w:rFonts w:ascii="Times New Roman" w:eastAsia="仿宋" w:hAnsi="Times New Roman" w:cs="Times New Roman"/>
          <w:szCs w:val="28"/>
        </w:rPr>
        <w:t>：</w:t>
      </w:r>
      <w:r>
        <w:rPr>
          <w:rFonts w:ascii="Times New Roman" w:eastAsia="仿宋" w:hAnsi="Times New Roman" w:cs="Times New Roman"/>
          <w:szCs w:val="28"/>
        </w:rPr>
        <w:t>202</w:t>
      </w:r>
      <w:r>
        <w:rPr>
          <w:rFonts w:ascii="Times New Roman" w:eastAsia="仿宋" w:hAnsi="Times New Roman" w:cs="Times New Roman" w:hint="eastAsia"/>
          <w:szCs w:val="28"/>
        </w:rPr>
        <w:t>4</w:t>
      </w:r>
      <w:r>
        <w:rPr>
          <w:rFonts w:ascii="Times New Roman" w:eastAsia="仿宋" w:hAnsi="Times New Roman" w:cs="Times New Roman"/>
          <w:szCs w:val="28"/>
        </w:rPr>
        <w:t>年</w:t>
      </w:r>
      <w:r>
        <w:rPr>
          <w:rFonts w:ascii="Times New Roman" w:eastAsia="仿宋" w:hAnsi="Times New Roman" w:cs="Times New Roman" w:hint="eastAsia"/>
          <w:szCs w:val="28"/>
        </w:rPr>
        <w:t>2</w:t>
      </w:r>
      <w:r>
        <w:rPr>
          <w:rFonts w:ascii="Times New Roman" w:eastAsia="仿宋" w:hAnsi="Times New Roman" w:cs="Times New Roman"/>
          <w:szCs w:val="28"/>
        </w:rPr>
        <w:t>月</w:t>
      </w:r>
      <w:r>
        <w:rPr>
          <w:rFonts w:ascii="Times New Roman" w:eastAsia="仿宋" w:hAnsi="Times New Roman" w:cs="Times New Roman" w:hint="eastAsia"/>
          <w:szCs w:val="28"/>
        </w:rPr>
        <w:t>12</w:t>
      </w:r>
      <w:r>
        <w:rPr>
          <w:rFonts w:ascii="Times New Roman" w:eastAsia="仿宋" w:hAnsi="Times New Roman" w:cs="Times New Roman" w:hint="eastAsia"/>
          <w:szCs w:val="28"/>
        </w:rPr>
        <w:t>日</w:t>
      </w:r>
    </w:p>
    <w:p w14:paraId="56696316" w14:textId="77777777" w:rsidR="00DA206C" w:rsidRDefault="00DA206C" w:rsidP="00DA206C">
      <w:pPr>
        <w:spacing w:before="120" w:after="240" w:line="360" w:lineRule="exact"/>
        <w:ind w:firstLine="560"/>
        <w:jc w:val="left"/>
        <w:rPr>
          <w:rStyle w:val="af"/>
          <w:rFonts w:ascii="Times New Roman" w:eastAsia="仿宋" w:hAnsi="Times New Roman" w:cs="Times New Roman"/>
          <w:szCs w:val="28"/>
        </w:rPr>
      </w:pPr>
      <w:r>
        <w:rPr>
          <w:rFonts w:ascii="Times New Roman" w:eastAsia="仿宋" w:hAnsi="Times New Roman" w:cs="Times New Roman" w:hint="eastAsia"/>
          <w:szCs w:val="28"/>
        </w:rPr>
        <w:t>链</w:t>
      </w:r>
      <w:r>
        <w:rPr>
          <w:rFonts w:ascii="Times New Roman" w:eastAsia="仿宋" w:hAnsi="Times New Roman" w:cs="Times New Roman"/>
          <w:szCs w:val="28"/>
        </w:rPr>
        <w:t>接</w:t>
      </w:r>
      <w:r>
        <w:rPr>
          <w:rFonts w:ascii="Times New Roman" w:eastAsia="仿宋" w:hAnsi="Times New Roman" w:cs="Times New Roman" w:hint="eastAsia"/>
          <w:szCs w:val="28"/>
        </w:rPr>
        <w:t>：</w:t>
      </w:r>
      <w:bookmarkStart w:id="10" w:name="OLE_LINK2"/>
      <w:r>
        <w:rPr>
          <w:rStyle w:val="af"/>
          <w:rFonts w:ascii="Times New Roman" w:eastAsia="仿宋" w:hAnsi="Times New Roman" w:cs="Times New Roman"/>
          <w:szCs w:val="28"/>
        </w:rPr>
        <w:fldChar w:fldCharType="begin"/>
      </w:r>
      <w:r>
        <w:rPr>
          <w:rStyle w:val="af"/>
          <w:rFonts w:ascii="Times New Roman" w:eastAsia="仿宋" w:hAnsi="Times New Roman" w:cs="Times New Roman"/>
          <w:szCs w:val="28"/>
        </w:rPr>
        <w:instrText>HYPERLINK "https://www.pcrf-ic.fr/IMG/pdf/decla_ukraine_fevr2024.pdf"</w:instrText>
      </w:r>
      <w:r>
        <w:rPr>
          <w:rStyle w:val="af"/>
          <w:rFonts w:ascii="Times New Roman" w:eastAsia="仿宋" w:hAnsi="Times New Roman" w:cs="Times New Roman"/>
          <w:szCs w:val="28"/>
        </w:rPr>
      </w:r>
      <w:r>
        <w:rPr>
          <w:rStyle w:val="af"/>
          <w:rFonts w:ascii="Times New Roman" w:eastAsia="仿宋" w:hAnsi="Times New Roman" w:cs="Times New Roman"/>
          <w:szCs w:val="28"/>
        </w:rPr>
        <w:fldChar w:fldCharType="separate"/>
      </w:r>
      <w:r>
        <w:rPr>
          <w:rStyle w:val="af"/>
          <w:rFonts w:ascii="Times New Roman" w:eastAsia="仿宋" w:hAnsi="Times New Roman" w:cs="Times New Roman"/>
          <w:szCs w:val="28"/>
        </w:rPr>
        <w:t>https://www.pcrf-ic.fr/IMG/pdf/decla_ukraine_fevr2024.pdf</w:t>
      </w:r>
      <w:r>
        <w:rPr>
          <w:rStyle w:val="af"/>
          <w:rFonts w:ascii="Times New Roman" w:eastAsia="仿宋" w:hAnsi="Times New Roman" w:cs="Times New Roman"/>
          <w:szCs w:val="28"/>
        </w:rPr>
        <w:fldChar w:fldCharType="end"/>
      </w:r>
    </w:p>
    <w:bookmarkEnd w:id="10"/>
    <w:p w14:paraId="240B1856" w14:textId="77777777" w:rsidR="00DA206C" w:rsidRDefault="00DA206C" w:rsidP="00DA206C">
      <w:pPr>
        <w:spacing w:before="60" w:after="60" w:line="480" w:lineRule="exact"/>
        <w:ind w:firstLineChars="0" w:firstLine="0"/>
        <w:jc w:val="center"/>
        <w:rPr>
          <w:rFonts w:ascii="黑体" w:eastAsia="黑体" w:hAnsi="黑体"/>
          <w:sz w:val="32"/>
          <w:szCs w:val="32"/>
        </w:rPr>
      </w:pPr>
      <w:r>
        <w:rPr>
          <w:rFonts w:ascii="黑体" w:eastAsia="黑体" w:hAnsi="黑体" w:hint="eastAsia"/>
          <w:sz w:val="32"/>
          <w:szCs w:val="32"/>
        </w:rPr>
        <w:t>乌克兰帝国主义战争两周年：共产主义者的经验和结论</w:t>
      </w:r>
    </w:p>
    <w:p w14:paraId="58B170CF" w14:textId="77777777" w:rsidR="00DA206C" w:rsidRDefault="00DA206C" w:rsidP="00DA206C">
      <w:pPr>
        <w:spacing w:before="60" w:after="60" w:line="480" w:lineRule="exact"/>
        <w:ind w:firstLineChars="0" w:firstLine="0"/>
        <w:jc w:val="center"/>
        <w:rPr>
          <w:rFonts w:ascii="黑体" w:eastAsia="黑体" w:hAnsi="黑体"/>
          <w:sz w:val="32"/>
          <w:szCs w:val="32"/>
        </w:rPr>
      </w:pPr>
      <w:r>
        <w:rPr>
          <w:rFonts w:ascii="黑体" w:eastAsia="黑体" w:hAnsi="黑体" w:hint="eastAsia"/>
          <w:sz w:val="32"/>
          <w:szCs w:val="32"/>
        </w:rPr>
        <w:t>法国革命共产党2024年2月12日</w:t>
      </w:r>
    </w:p>
    <w:p w14:paraId="2A419FAD" w14:textId="77777777" w:rsidR="00DA206C" w:rsidRDefault="00DA206C" w:rsidP="00DA206C">
      <w:pPr>
        <w:spacing w:before="60" w:after="60" w:line="480" w:lineRule="exact"/>
        <w:ind w:firstLineChars="0" w:firstLine="0"/>
        <w:jc w:val="center"/>
        <w:rPr>
          <w:rFonts w:ascii="黑体" w:eastAsia="黑体" w:hAnsi="黑体"/>
          <w:sz w:val="32"/>
          <w:szCs w:val="32"/>
        </w:rPr>
      </w:pPr>
      <w:r>
        <w:rPr>
          <w:rFonts w:ascii="黑体" w:eastAsia="黑体" w:hAnsi="黑体" w:hint="eastAsia"/>
          <w:sz w:val="32"/>
          <w:szCs w:val="32"/>
        </w:rPr>
        <w:t>提交给“欧洲共产主义行动”在土耳其召开的会议的文件</w:t>
      </w:r>
    </w:p>
    <w:p w14:paraId="32976798"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乌克兰战争已经持续两年。不管冲突各方使用什么借口，这场战争都是两个帝国主义阵营之间竞争越发尖锐的结果。这种竞争主要围绕势力范围、市场份额、原材料、能源计划和交通路线展开。</w:t>
      </w:r>
    </w:p>
    <w:p w14:paraId="756E1173"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这证明了，战争是同一种政策以另一些方式的延续；也证明了，帝国主义战争及其造成的死亡和破坏，是资本主义竞争及其生产方式不可避免的后果。要知道，在社会主义制度下，俄罗斯和乌克兰的人民曾友好地生活、和平地发展。小资产者们甚至共产党内的修正主义者们庸俗地把帝国主义定义为一种侵略、吞并、殖民、征服政策。但这不是帝国主义的正确定义。帝国主义是垄断的资本主义。</w:t>
      </w:r>
    </w:p>
    <w:p w14:paraId="1AA063D0"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乌克兰帝国主义战争的爆发，加剧了国际共产主义运</w:t>
      </w:r>
      <w:r>
        <w:rPr>
          <w:rFonts w:ascii="宋体" w:hAnsi="宋体" w:hint="eastAsia"/>
          <w:sz w:val="32"/>
          <w:szCs w:val="32"/>
        </w:rPr>
        <w:lastRenderedPageBreak/>
        <w:t>动队伍中围绕严肃的意识形态-政治问题的矛盾，这些矛盾多年来一直困扰着国际共运。在与全球反革命势力的力量对比处于不利地位之际，国际共运内部显现出了机会主义的倾向。在这些问题中，最首要的问题当然是如何看待乌克兰战场上美国、北约、欧盟与俄罗斯之间的战争的帝国主义性质，如何看待资产阶级及其政治代表（例如社会民主派），如何看待某些关于帝国主义体系的有问题的分析，如何看待□□与俄罗斯的立场等等。另外，还有一些重要问题与“通过反新自由主义阶段、国有化阶段走向社会主义”、“支持并参与资产阶级政府”的错误战略有关。然而，在法国，工人运动和巴黎公社的鲜活教训早就证明：我们不能直接把资产阶级国家机器收归己用，而是必须打碎它并建立自己的无产阶级国家。</w:t>
      </w:r>
    </w:p>
    <w:p w14:paraId="1621DFEF"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在这种情况下，“世界反帝平台”（Plateforme Mondiale Anti-impérialiste）出现了。战争问题是最复杂的问题之一，需要用历史唯物主义和辩证唯物主义的方法加以分析。从马克思主义的观点来看，我们应该具体地确定每场战争的政治意义。乌克兰战争是帝国主义之间的对抗。组成“世界反帝平台”的组织事实上设想了一个两大阵营对抗的多极世界：□□-俄罗斯与欧盟-北约轴心对抗，甚至是□俄与欧盟对抗。它们由此推出，我们必须支持那个反对首要的、“更强的”帝国主义的阵营，因此必须站在俄罗斯一边。这种论证方式跟“三个世界”理论是有些相像的。他们还举例说，苏联也曾和西方国家结盟，一</w:t>
      </w:r>
      <w:r>
        <w:rPr>
          <w:rFonts w:ascii="宋体" w:hAnsi="宋体" w:hint="eastAsia"/>
          <w:sz w:val="32"/>
          <w:szCs w:val="32"/>
        </w:rPr>
        <w:lastRenderedPageBreak/>
        <w:t>起对抗纳粹。然而，今天的俄罗斯帝国主义并不是苏联，乌克兰战争对劳动者也没有丝毫好处。</w:t>
      </w:r>
    </w:p>
    <w:p w14:paraId="2C987E3C"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就法国而言，它的军工业正在飞速发展。法国政府提高军费，拥有庞大的国防产业，比如达索（Dassault）、赛峰（Safran）、泰雷兹（Thales）、法国海军集团（Naval Group）、欧洲导弹集团（MBDA）、奈克斯特（Nexter）等军工集团，还有许多为这些主要垄断组织做分包任务的中小型企业和创业公司。法国国防产业总共雇有近20万员工。在此背景下，政府正在越发公开地谈论战时经济。在冲突增多、乌克兰爆发战争的情况下，这些企业面对的需求很大。乌克兰战争和近东、非洲和亚洲的冲突增加了订单量。如今，法国是全球第二大武器出口国，高于俄罗斯，仅次于美国。在新的组织劳动的规则下，法国工厂全速运转。制造“凯撒”榴弹炮（Caesar）的速度提高了一倍，制造“阵风”战斗机（Rafale）的速度提高了两倍！</w:t>
      </w:r>
    </w:p>
    <w:p w14:paraId="712F964A"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在埃马纽埃尔·马克龙的两届任期内，国防预算几乎翻了一番。《军事规划法》（</w:t>
      </w:r>
      <w:r>
        <w:rPr>
          <w:rFonts w:ascii="宋体" w:hAnsi="宋体"/>
          <w:sz w:val="32"/>
          <w:szCs w:val="32"/>
        </w:rPr>
        <w:t>loi de programmation militaire</w:t>
      </w:r>
      <w:r>
        <w:rPr>
          <w:rFonts w:ascii="宋体" w:hAnsi="宋体" w:hint="eastAsia"/>
          <w:sz w:val="32"/>
          <w:szCs w:val="32"/>
        </w:rPr>
        <w:t>）规定，（2024年至2030年）要给军队拨款4130亿欧元，其中接近一半实际上属于武器和装备订单。马克龙还曾表示，打算为欧洲共同防务创建一项1000亿欧元的基金。</w:t>
      </w:r>
    </w:p>
    <w:p w14:paraId="49A5948F"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在马克龙近期访问斯德哥尔摩后，法国将会扩大与瑞典的军事合作（尤其是防空合作）。在空中防卫与监测方面，</w:t>
      </w:r>
      <w:r>
        <w:rPr>
          <w:rFonts w:ascii="宋体" w:hAnsi="宋体" w:hint="eastAsia"/>
          <w:sz w:val="32"/>
          <w:szCs w:val="32"/>
        </w:rPr>
        <w:lastRenderedPageBreak/>
        <w:t>两国将签署一份意向书。瑞典制造商萨博公司（SAAB）过去制造飞机和汽车，现在从事防务和安全工作，它与法国军工企业欧洲导弹集团也将敲定一份合约，共同研发一种反装甲导弹。在乌克兰，法国的思路也已转变：它不再努力贩卖武器，而是努力让法国企业获得武器制造合约。为此，国家可能给这些企业发放补贴，也可能制定新的合作政策，允许军工企业在乌克兰土地上建厂。</w:t>
      </w:r>
    </w:p>
    <w:p w14:paraId="70411F91"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欧盟这一帝国主义之间的联盟在乌克兰局势中发现了强化自己的强盗集团的机会。于是整合欧洲内部各帝国主义军队的战略问题就被提了出来。近年来，在法国对欧盟的政策中，“欧洲军”是非常常见的主题。然而必须注意到，在这一问题上，法国的立场多年来一直是孤立的。整合欧盟军队的倡议因为各成员国的矛盾而陷入困境。法国和德国的立场矛盾尤其明显：法国是欧洲第一大军事力量，也是欧盟唯一拥核国，如果真的成立“欧洲军”，法国就可以得到特权地位；德国则更重视北约框架下与美国的军事联盟，因为比起法国的军事统治地位，德国还暂时落后。这些矛盾都是垄断组织之间竞争和结盟的后果。</w:t>
      </w:r>
    </w:p>
    <w:p w14:paraId="0D64F3EB"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世界帝国主义各极拿起武器互相攻击。在即将到来的灾难中，各国工人都将成为炮灰和平民受害者。如果说资本主义垄断组织及其国家的利益在于发动战争，那么各国人民的利益就在于反对它们的计划，并用斗争争取和平。</w:t>
      </w:r>
    </w:p>
    <w:p w14:paraId="74EE23C2"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这场军事冲突可能导致规模不可预测的对抗，特别是</w:t>
      </w:r>
      <w:r>
        <w:rPr>
          <w:rFonts w:ascii="宋体" w:hAnsi="宋体" w:hint="eastAsia"/>
          <w:sz w:val="32"/>
          <w:szCs w:val="32"/>
        </w:rPr>
        <w:lastRenderedPageBreak/>
        <w:t>因为，这与美国、欧盟、□□、俄罗斯等在帝国主义体系中争夺霸权的总体对抗有关。</w:t>
      </w:r>
    </w:p>
    <w:p w14:paraId="6EDEBBD1"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在俄罗斯和乌克兰的劳动者们决定自身命运、争取和平的过程中，他们应当保持完全独立，尤其是应当通过自己的斗争，远离一切资产阶级和帝国主义者的谋划。必须为反对沙文主义、反对民族主义、反对民族对抗的陷阱而斗争。这种民族对抗掩盖了冲突的真正原因。对此，我们敦促法国劳动者们进行斗争，反对北约、欧盟等组织的帝国主义谋划，尤其是反对我们自己的法帝国主义、反对法国不顾人民尚未满足的需要而在欧洲和全世界大搞军国主义的野心。</w:t>
      </w:r>
    </w:p>
    <w:p w14:paraId="71D821F5"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争取和平的斗争与争取社会主义-共产主义的总体斗争是分不开的。</w:t>
      </w:r>
    </w:p>
    <w:p w14:paraId="0B9B968A" w14:textId="77777777" w:rsidR="00DA206C" w:rsidRDefault="00DA206C" w:rsidP="00DA206C">
      <w:pPr>
        <w:spacing w:before="60" w:after="60" w:line="480" w:lineRule="exact"/>
        <w:ind w:firstLine="560"/>
        <w:rPr>
          <w:rFonts w:ascii="黑体" w:eastAsia="黑体" w:hAnsi="黑体"/>
          <w:b/>
          <w:kern w:val="44"/>
          <w:sz w:val="36"/>
          <w:szCs w:val="36"/>
        </w:rPr>
      </w:pPr>
      <w:r>
        <w:rPr>
          <w:rFonts w:ascii="黑体" w:eastAsia="黑体" w:hAnsi="黑体"/>
          <w:szCs w:val="36"/>
        </w:rPr>
        <w:br w:type="page"/>
      </w:r>
    </w:p>
    <w:p w14:paraId="6AEADA36" w14:textId="77777777" w:rsidR="00DA206C" w:rsidRDefault="00DA206C" w:rsidP="00DA206C">
      <w:pPr>
        <w:pStyle w:val="1"/>
        <w:rPr>
          <w:rFonts w:ascii="黑体" w:eastAsia="黑体" w:hAnsi="黑体"/>
          <w:sz w:val="32"/>
          <w:szCs w:val="32"/>
        </w:rPr>
      </w:pPr>
      <w:bookmarkStart w:id="11" w:name="_Toc8736"/>
      <w:bookmarkStart w:id="12" w:name="_Toc164197985"/>
      <w:r>
        <w:rPr>
          <w:rFonts w:ascii="黑体" w:eastAsia="黑体" w:hAnsi="黑体" w:hint="eastAsia"/>
          <w:szCs w:val="36"/>
        </w:rPr>
        <w:lastRenderedPageBreak/>
        <w:t>尼泊尔的右转：2022年大选观察</w:t>
      </w:r>
      <w:bookmarkEnd w:id="11"/>
      <w:bookmarkEnd w:id="12"/>
    </w:p>
    <w:p w14:paraId="4EC23EA8" w14:textId="77777777" w:rsidR="00DA206C" w:rsidRDefault="00DA206C" w:rsidP="00DA206C">
      <w:pPr>
        <w:ind w:firstLineChars="0" w:firstLine="0"/>
        <w:jc w:val="center"/>
      </w:pPr>
      <w:r>
        <w:rPr>
          <w:noProof/>
        </w:rPr>
        <w:drawing>
          <wp:inline distT="0" distB="0" distL="0" distR="0" wp14:anchorId="16D82EC2" wp14:editId="6B13F548">
            <wp:extent cx="5148000" cy="2898000"/>
            <wp:effectExtent l="0" t="0" r="0" b="0"/>
            <wp:docPr id="1030" name="图片 2" descr="Biraj Bhakta Shrestha, a candidate for the National Independent Party, receives greetings from a well-wisher after winning the parliamentary election in Kathmandu, Nepal on 23 November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pic:nvPicPr>
                  <pic:blipFill>
                    <a:blip r:embed="rId20" cstate="print"/>
                    <a:srcRect/>
                    <a:stretch/>
                  </pic:blipFill>
                  <pic:spPr>
                    <a:xfrm>
                      <a:off x="0" y="0"/>
                      <a:ext cx="5148000" cy="2898000"/>
                    </a:xfrm>
                    <a:prstGeom prst="rect">
                      <a:avLst/>
                    </a:prstGeom>
                    <a:ln>
                      <a:noFill/>
                    </a:ln>
                  </pic:spPr>
                </pic:pic>
              </a:graphicData>
            </a:graphic>
          </wp:inline>
        </w:drawing>
      </w:r>
    </w:p>
    <w:p w14:paraId="0CEA8262" w14:textId="77777777" w:rsidR="00DA206C" w:rsidRDefault="00DA206C" w:rsidP="00DA206C">
      <w:pPr>
        <w:spacing w:before="24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来源：</w:t>
      </w:r>
      <w:r>
        <w:rPr>
          <w:rFonts w:ascii="Times New Roman" w:eastAsia="仿宋" w:hAnsi="Times New Roman" w:cs="Times New Roman" w:hint="eastAsia"/>
          <w:szCs w:val="28"/>
        </w:rPr>
        <w:t>德国罗莎·卢森堡基金会网站</w:t>
      </w:r>
    </w:p>
    <w:p w14:paraId="1B98AACB" w14:textId="77777777" w:rsidR="00DA206C" w:rsidRDefault="00DA206C" w:rsidP="00DA206C">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日期</w:t>
      </w:r>
      <w:r>
        <w:rPr>
          <w:rFonts w:ascii="Times New Roman" w:eastAsia="仿宋" w:hAnsi="Times New Roman" w:cs="Times New Roman"/>
          <w:szCs w:val="28"/>
        </w:rPr>
        <w:t>：</w:t>
      </w:r>
      <w:r>
        <w:rPr>
          <w:rFonts w:ascii="Times New Roman" w:eastAsia="仿宋" w:hAnsi="Times New Roman" w:cs="Times New Roman"/>
          <w:szCs w:val="28"/>
        </w:rPr>
        <w:t>2023</w:t>
      </w:r>
      <w:r>
        <w:rPr>
          <w:rFonts w:ascii="Times New Roman" w:eastAsia="仿宋" w:hAnsi="Times New Roman" w:cs="Times New Roman"/>
          <w:szCs w:val="28"/>
        </w:rPr>
        <w:t>年</w:t>
      </w:r>
      <w:r>
        <w:rPr>
          <w:rFonts w:ascii="Times New Roman" w:eastAsia="仿宋" w:hAnsi="Times New Roman" w:cs="Times New Roman" w:hint="eastAsia"/>
          <w:szCs w:val="28"/>
        </w:rPr>
        <w:t>1</w:t>
      </w:r>
      <w:r>
        <w:rPr>
          <w:rFonts w:ascii="Times New Roman" w:eastAsia="仿宋" w:hAnsi="Times New Roman" w:cs="Times New Roman"/>
          <w:szCs w:val="28"/>
        </w:rPr>
        <w:t>月</w:t>
      </w:r>
      <w:r>
        <w:rPr>
          <w:rFonts w:ascii="Times New Roman" w:eastAsia="仿宋" w:hAnsi="Times New Roman" w:cs="Times New Roman" w:hint="eastAsia"/>
          <w:szCs w:val="28"/>
        </w:rPr>
        <w:t>5</w:t>
      </w:r>
      <w:r>
        <w:rPr>
          <w:rFonts w:ascii="Times New Roman" w:eastAsia="仿宋" w:hAnsi="Times New Roman" w:cs="Times New Roman" w:hint="eastAsia"/>
          <w:szCs w:val="28"/>
        </w:rPr>
        <w:t>日</w:t>
      </w:r>
    </w:p>
    <w:p w14:paraId="4ADCE245" w14:textId="77777777" w:rsidR="00DA206C" w:rsidRDefault="00DA206C" w:rsidP="00DA206C">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题图：</w:t>
      </w:r>
      <w:r>
        <w:rPr>
          <w:rFonts w:ascii="Times New Roman" w:eastAsia="仿宋" w:hAnsi="Times New Roman" w:cs="Times New Roman" w:hint="eastAsia"/>
          <w:szCs w:val="28"/>
        </w:rPr>
        <w:t>2022</w:t>
      </w:r>
      <w:r>
        <w:rPr>
          <w:rFonts w:ascii="Times New Roman" w:eastAsia="仿宋" w:hAnsi="Times New Roman" w:cs="Times New Roman" w:hint="eastAsia"/>
          <w:szCs w:val="28"/>
        </w:rPr>
        <w:t>年</w:t>
      </w:r>
      <w:r>
        <w:rPr>
          <w:rFonts w:ascii="Times New Roman" w:eastAsia="仿宋" w:hAnsi="Times New Roman" w:cs="Times New Roman" w:hint="eastAsia"/>
          <w:szCs w:val="28"/>
        </w:rPr>
        <w:t>11</w:t>
      </w:r>
      <w:r>
        <w:rPr>
          <w:rFonts w:ascii="Times New Roman" w:eastAsia="仿宋" w:hAnsi="Times New Roman" w:cs="Times New Roman" w:hint="eastAsia"/>
          <w:szCs w:val="28"/>
        </w:rPr>
        <w:t>月</w:t>
      </w:r>
      <w:r>
        <w:rPr>
          <w:rFonts w:ascii="Times New Roman" w:eastAsia="仿宋" w:hAnsi="Times New Roman" w:cs="Times New Roman" w:hint="eastAsia"/>
          <w:szCs w:val="28"/>
        </w:rPr>
        <w:t>23</w:t>
      </w:r>
      <w:r>
        <w:rPr>
          <w:rFonts w:ascii="Times New Roman" w:eastAsia="仿宋" w:hAnsi="Times New Roman" w:cs="Times New Roman" w:hint="eastAsia"/>
          <w:szCs w:val="28"/>
        </w:rPr>
        <w:t>日，在尼泊尔加德满都，民族独立党候选人比拉吉·巴克塔·什雷斯塔（</w:t>
      </w:r>
      <w:r>
        <w:rPr>
          <w:rFonts w:ascii="Times New Roman" w:eastAsia="仿宋" w:hAnsi="Times New Roman" w:cs="Times New Roman" w:hint="eastAsia"/>
          <w:szCs w:val="28"/>
        </w:rPr>
        <w:t>Biraj Bhakta Shrestha</w:t>
      </w:r>
      <w:r>
        <w:rPr>
          <w:rFonts w:ascii="Times New Roman" w:eastAsia="仿宋" w:hAnsi="Times New Roman" w:cs="Times New Roman" w:hint="eastAsia"/>
          <w:szCs w:val="28"/>
        </w:rPr>
        <w:t>）在赢得议会选举后接受祝贺。</w:t>
      </w:r>
    </w:p>
    <w:p w14:paraId="16E15792" w14:textId="77777777" w:rsidR="00DA206C" w:rsidRDefault="00DA206C" w:rsidP="00DA206C">
      <w:pPr>
        <w:spacing w:before="120" w:after="240" w:line="360" w:lineRule="exact"/>
        <w:ind w:firstLine="560"/>
        <w:jc w:val="left"/>
        <w:rPr>
          <w:rStyle w:val="af"/>
          <w:rFonts w:ascii="Times New Roman" w:eastAsia="仿宋" w:hAnsi="Times New Roman" w:cs="Times New Roman"/>
          <w:szCs w:val="28"/>
        </w:rPr>
      </w:pPr>
      <w:r>
        <w:rPr>
          <w:rFonts w:ascii="Times New Roman" w:eastAsia="仿宋" w:hAnsi="Times New Roman" w:cs="Times New Roman"/>
          <w:szCs w:val="28"/>
        </w:rPr>
        <w:t>链接</w:t>
      </w:r>
      <w:r>
        <w:rPr>
          <w:rFonts w:ascii="Times New Roman" w:eastAsia="仿宋" w:hAnsi="Times New Roman" w:cs="Times New Roman" w:hint="eastAsia"/>
          <w:szCs w:val="28"/>
        </w:rPr>
        <w:t>：</w:t>
      </w:r>
      <w:hyperlink r:id="rId21" w:history="1"/>
      <w:r>
        <w:rPr>
          <w:rStyle w:val="af"/>
          <w:rFonts w:ascii="Times New Roman" w:eastAsia="仿宋" w:hAnsi="Times New Roman" w:cs="Times New Roman" w:hint="eastAsia"/>
          <w:szCs w:val="28"/>
        </w:rPr>
        <w:t>https://www.rosalux.de/en/news/id/49838/nepals-slide-to-the-right</w:t>
      </w:r>
    </w:p>
    <w:p w14:paraId="5DE94218"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2022年11月20日，尼泊尔举行了联邦议会选举和省议会选举。这是2015年该国极具争议的新宪法通过后举行的第二次选举，这次选举似乎证实了一种危险的趋势，即历史上享有特权的上层种姓少数群体重新巩固了政治权力。这些少数群体公然无视多数群体——即达利特人（Dalits）</w:t>
      </w:r>
      <w:r>
        <w:rPr>
          <w:rFonts w:ascii="宋体" w:hAnsi="宋体" w:hint="eastAsia"/>
          <w:sz w:val="32"/>
          <w:szCs w:val="32"/>
        </w:rPr>
        <w:lastRenderedPageBreak/>
        <w:t>（所谓的“不可接触者”）、土著群体和妇女——在尼泊尔建立一个真正包容的民主国家的愿望。</w:t>
      </w:r>
    </w:p>
    <w:p w14:paraId="58998C8D"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没有一个政党在这次联邦议会选举中赢得多数席位。在275个席位中，中间派的尼泊尔大会党（Nepali Congress (NC)）——尼泊尔最古老的政党，赢得了最多的89个席位（32%）。尼泊尔共产党（联合马列）（Communist Party of Nepal (Unified Marxist–Leninist), CPN(UML)）——尼泊尔主要的左翼政党之一，以78个席位（28%）成为第二大党。曾在1996年至2006年期间发动游击战争的尼泊尔共产党（毛主义中心）（Communist Party (Maoist Centre), CPN(MC)），以32个席位（12%）位列第三。</w:t>
      </w:r>
    </w:p>
    <w:p w14:paraId="15B1E467"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右翼政党方面出现了复苏。民族独立党（National Independent Party (NIP)）——一个在选举前六个月才成立的强调“非意识形态”但偏向右翼的政党，成为了第四大党，赢得了20个席位（7%）。民族民主党（National Democratic Party (NDP)）——一个君主主义和印度教民族主义的政党，成为了第五大党，获得14个席位（5%）。其他7个政党，包括尼共（联合马列）分离出的一派——尼泊尔共产党（联合社会主义者）（CPN (Unified Socialist)）、一些地区性政党和民族性政党，以及5位独立候选人，各赢得了1至12个席位。</w:t>
      </w:r>
    </w:p>
    <w:p w14:paraId="6493FB76"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无论是从短期还是长期来看，这次选举都大大增加了</w:t>
      </w:r>
      <w:r>
        <w:rPr>
          <w:rFonts w:ascii="宋体" w:hAnsi="宋体" w:hint="eastAsia"/>
          <w:sz w:val="32"/>
          <w:szCs w:val="32"/>
        </w:rPr>
        <w:lastRenderedPageBreak/>
        <w:t>影响尼泊尔大多数人日常生活的不确定性，也给尼泊尔具有包容性的民主政体的未来蒙上了一层阴影。各共产党，特别是尼共（联合马列）、尼共（毛主义中心）和尼共（联合社会主义者），曾在2017年选举中总共获得近三分之二的多数席位，如今却遭受巨大损失，失去了超过30%的席位。大会党获得的席位增加了40%，成为议会中最大的力量。地区性党派和民族性党派面临重大损失，而君主主义党派和新党派的得票率却大幅提高。</w:t>
      </w:r>
    </w:p>
    <w:p w14:paraId="1C22D8FA" w14:textId="77777777" w:rsidR="00DA206C" w:rsidRDefault="00DA206C" w:rsidP="00DA206C">
      <w:pPr>
        <w:spacing w:before="60" w:after="60" w:line="480" w:lineRule="exact"/>
        <w:ind w:firstLine="640"/>
        <w:rPr>
          <w:rFonts w:ascii="黑体" w:eastAsia="黑体" w:hAnsi="黑体" w:cs="黑体"/>
          <w:sz w:val="32"/>
          <w:szCs w:val="32"/>
        </w:rPr>
      </w:pPr>
      <w:r>
        <w:rPr>
          <w:rFonts w:ascii="黑体" w:eastAsia="黑体" w:hAnsi="黑体" w:cs="黑体" w:hint="eastAsia"/>
          <w:sz w:val="32"/>
          <w:szCs w:val="32"/>
        </w:rPr>
        <w:t>与世俗主义渐行渐远</w:t>
      </w:r>
    </w:p>
    <w:p w14:paraId="7FEAB300"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选举结果为尼泊尔政治描绘了一幅暗淡的画面，至少未来5年是这样。表面上看，尼泊尔政治似乎正在走向不稳定，很有可能出现悬峙议会（hung parliament）</w:t>
      </w:r>
      <w:r>
        <w:rPr>
          <w:rStyle w:val="af0"/>
          <w:rFonts w:ascii="宋体" w:hAnsi="宋体"/>
          <w:sz w:val="32"/>
          <w:szCs w:val="32"/>
        </w:rPr>
        <w:footnoteReference w:customMarkFollows="1" w:id="4"/>
        <w:t>[1]</w:t>
      </w:r>
      <w:r>
        <w:rPr>
          <w:rFonts w:ascii="宋体" w:hAnsi="宋体" w:hint="eastAsia"/>
          <w:sz w:val="32"/>
          <w:szCs w:val="32"/>
        </w:rPr>
        <w:t>。较大的政党需要得到其他许多较小政党和独立候选人的支持才能组建政府，这使得后者在执政联盟中拥有与其体量不相称的权力。考虑到尼泊尔过去20年的政治，我们可以设想，尼泊尔政局仍将不稳。我们还可以设想，该国政党合并、分裂，以及讨价还价的既有政治“文化”将有增无减。</w:t>
      </w:r>
    </w:p>
    <w:p w14:paraId="69E21270"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政治不稳定在尼泊尔并不是一个新现象。这个国家曾多次出现不稳定的政府，哪怕一个政党在议会中获得了绝对多数席位。例如，尼共（联合马列）与尼共（毛主义中心）合并后，从2017年至2022年在议会中拥有近三分之二的多数席位。然而，这个绝对多数政府在任期结束前的</w:t>
      </w:r>
      <w:r>
        <w:rPr>
          <w:rFonts w:ascii="宋体" w:hAnsi="宋体" w:hint="eastAsia"/>
          <w:sz w:val="32"/>
          <w:szCs w:val="32"/>
        </w:rPr>
        <w:lastRenderedPageBreak/>
        <w:t>2021年7月就垮台了。</w:t>
      </w:r>
    </w:p>
    <w:p w14:paraId="20EA543E"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尼共（毛主义中心）主席普什帕·卡迈勒·达哈尔（Pushpa Kamal Dahal），化名“普拉昌达”（Prachanda），已于2022年12月25日被任命为尼泊尔总理，并得到了尼共（联合马列）、民族独立党、民族民主党和其他小党的支持。这次，普拉昌达脱离了与尼泊尔大会党的联盟，组建了与尼共（联合马列）的联盟。</w:t>
      </w:r>
    </w:p>
    <w:p w14:paraId="58AE842C"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普拉昌达在短短4年内完成了一个完整的循环。2018年5月，他将自己的党与尼共（联合马列）合并，并加入了尼共（联合马列）领导的政府。之后，他的党又与尼共（联合马列）分裂，并于2021年8月与尼泊尔大会党组成联合政府。他的党又通过这个联合政府参加了2022年的选举。现在，他又脱离了与大会党的联盟，主要在尼共（联合马列）的支持下组建了自己的政府。普拉昌达的例子说明了尼泊尔政党中普遍存在的政治机会主义。此外，他的政府由意识形态对立的政党组成——包括君主主义和民主主义，以及联邦主义和反联邦主义。</w:t>
      </w:r>
    </w:p>
    <w:p w14:paraId="3A1167EC"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然而，在更深的层面上，我们发现了一些比通常的讨价还价和治理无方更令人不安的事情。选举结果证实甚至助长了尼泊尔政治朝着倒退、右翼、排他的危险转向。</w:t>
      </w:r>
    </w:p>
    <w:p w14:paraId="48CC9DB4" w14:textId="35607364"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倒退的、基于种姓的政治使尼泊尔成为世界上最不公正和最不平等的社会之一，目前这种政治的巩固可以追溯</w:t>
      </w:r>
      <w:r>
        <w:rPr>
          <w:rFonts w:ascii="宋体" w:hAnsi="宋体" w:hint="eastAsia"/>
          <w:sz w:val="32"/>
          <w:szCs w:val="32"/>
        </w:rPr>
        <w:lastRenderedPageBreak/>
        <w:t>到2012年5月28日，那时召开的2006年革命</w:t>
      </w:r>
      <w:r>
        <w:rPr>
          <w:rStyle w:val="af0"/>
          <w:rFonts w:ascii="宋体" w:hAnsi="宋体"/>
          <w:sz w:val="32"/>
          <w:szCs w:val="32"/>
        </w:rPr>
        <w:footnoteReference w:customMarkFollows="1" w:id="5"/>
        <w:t>[2]</w:t>
      </w:r>
      <w:r>
        <w:rPr>
          <w:rFonts w:ascii="宋体" w:hAnsi="宋体" w:hint="eastAsia"/>
          <w:sz w:val="32"/>
          <w:szCs w:val="32"/>
        </w:rPr>
        <w:t>后的第一次制宪会议没能成功起草出一部新宪法就被解散。尽管在尼泊尔有史以来最具包容性的议会中获得了所需的支持，但高种姓领导人却未能制定出一部宪法。</w:t>
      </w:r>
    </w:p>
    <w:p w14:paraId="6CCADB7A" w14:textId="626FDDA6"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随后，尼泊尔选举出第二个制宪会议，起草了备受争议的2015年宪法，同时压制反对声音，特别是边缘群体的反对声音。2015年宪法没有解决尼泊尔根深蒂固的结构性问题，特别是性别问题、社会排斥问题、各种形式的不平等以及治理问题，这些问题曾导致过毛主义起义和2006年革命。相反，2015年宪法进一步巩固了占统治地位的群体——居住在山上的上层种姓婆罗门（Brahmins）和切特里（Chhetris）</w:t>
      </w:r>
      <w:r>
        <w:rPr>
          <w:rStyle w:val="af0"/>
          <w:rFonts w:ascii="宋体" w:hAnsi="宋体"/>
          <w:sz w:val="32"/>
          <w:szCs w:val="32"/>
        </w:rPr>
        <w:footnoteReference w:customMarkFollows="1" w:id="6"/>
        <w:t>[3]</w:t>
      </w:r>
      <w:r>
        <w:rPr>
          <w:rFonts w:ascii="宋体" w:hAnsi="宋体" w:hint="eastAsia"/>
          <w:sz w:val="32"/>
          <w:szCs w:val="32"/>
        </w:rPr>
        <w:t>——的权力。</w:t>
      </w:r>
    </w:p>
    <w:p w14:paraId="3D52D666"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尼泊尔宪法是现代唯一一部将世俗主义定义为国家保护所谓的Sanatan传统——即印度教和种姓制度——的宪法。目前的选举结果证明了占主导地位的种姓群体的持久力量。值得注意的是，尼泊尔最大政党、与印度国大党关系密切的尼泊尔大会党，在其最近的选举宣言中选择忽略“世俗主义”——这应当引起尼泊尔和印度内外的世俗主义者的关注。</w:t>
      </w:r>
    </w:p>
    <w:p w14:paraId="2DF7E34B" w14:textId="77777777" w:rsidR="00DA206C" w:rsidRDefault="00DA206C" w:rsidP="00DA206C">
      <w:pPr>
        <w:spacing w:before="60" w:after="60" w:line="480" w:lineRule="exact"/>
        <w:ind w:firstLine="640"/>
        <w:rPr>
          <w:rFonts w:ascii="宋体" w:hAnsi="宋体"/>
          <w:sz w:val="32"/>
          <w:szCs w:val="32"/>
        </w:rPr>
      </w:pPr>
    </w:p>
    <w:p w14:paraId="19D77EBA" w14:textId="77777777" w:rsidR="00DA206C" w:rsidRDefault="00DA206C" w:rsidP="00DA206C">
      <w:pPr>
        <w:spacing w:before="60" w:after="60" w:line="480" w:lineRule="exact"/>
        <w:ind w:firstLine="640"/>
        <w:rPr>
          <w:rFonts w:ascii="黑体" w:eastAsia="黑体" w:hAnsi="黑体" w:cs="黑体"/>
          <w:sz w:val="32"/>
          <w:szCs w:val="32"/>
        </w:rPr>
      </w:pPr>
      <w:r>
        <w:rPr>
          <w:rFonts w:ascii="黑体" w:eastAsia="黑体" w:hAnsi="黑体" w:cs="黑体" w:hint="eastAsia"/>
          <w:sz w:val="32"/>
          <w:szCs w:val="32"/>
        </w:rPr>
        <w:lastRenderedPageBreak/>
        <w:t>边缘群体被进一步边缘化</w:t>
      </w:r>
    </w:p>
    <w:p w14:paraId="7B256E2C" w14:textId="74B028CF"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2022年选举本身比往届选举更具排他性。在简单多数制（First Past the Post, FPTP）</w:t>
      </w:r>
      <w:r>
        <w:rPr>
          <w:rStyle w:val="af0"/>
          <w:rFonts w:ascii="宋体" w:hAnsi="宋体"/>
          <w:sz w:val="32"/>
          <w:szCs w:val="32"/>
        </w:rPr>
        <w:footnoteReference w:customMarkFollows="1" w:id="7"/>
        <w:t>[4]</w:t>
      </w:r>
      <w:r>
        <w:rPr>
          <w:rFonts w:ascii="宋体" w:hAnsi="宋体" w:hint="eastAsia"/>
          <w:sz w:val="32"/>
          <w:szCs w:val="32"/>
        </w:rPr>
        <w:t>选举中，各党派出的妇女、达利特人和其他边缘群体的候选人数量较少（尼泊尔议会中165个席位通过简单多数制选出，110个席位通过比例代表制（proportional representation, PR）</w:t>
      </w:r>
      <w:r>
        <w:rPr>
          <w:rStyle w:val="af0"/>
          <w:rFonts w:ascii="宋体" w:hAnsi="宋体"/>
          <w:sz w:val="32"/>
          <w:szCs w:val="32"/>
        </w:rPr>
        <w:footnoteReference w:customMarkFollows="1" w:id="8"/>
        <w:t>[5]</w:t>
      </w:r>
      <w:r>
        <w:rPr>
          <w:rFonts w:ascii="宋体" w:hAnsi="宋体" w:hint="eastAsia"/>
          <w:sz w:val="32"/>
          <w:szCs w:val="32"/>
        </w:rPr>
        <w:t>选出）。在简单多数制选举中，尼共（联合马列）和尼共（毛主义中心）各自只派出了两名来自达利特社区的候选人，而大会党则根本没有派出任何来自达利特社区的候选人。在议会165个简单多数制席位中，只有一名来自达利特社区的候选人（属于尼共（联合马列））当选。占人口近4%的穆斯林社区没有候选人通过简单多数制当选。只有9名女性通过简单多数制当选。</w:t>
      </w:r>
    </w:p>
    <w:p w14:paraId="66008E8F"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由于宪法为妇女保留了33%的议会席位，各党派将提名更多的妇女参加比例代表制选举，以弥补这个较低的数字。宪法没有规定达利特人和其他边缘群体的议会席位配额。各党派在选举中推举妇女、达利特人和其他边缘群体较少的原因之一是，大多数党派由少数上层种姓的男性婆罗门和切特里领导人控制。此外，尼泊尔各政党内部也缺乏透明度和民主。</w:t>
      </w:r>
    </w:p>
    <w:p w14:paraId="3E69F877"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总的来说，达利特人和其他边缘群体在本届议会中的</w:t>
      </w:r>
      <w:r>
        <w:rPr>
          <w:rFonts w:ascii="宋体" w:hAnsi="宋体" w:hint="eastAsia"/>
          <w:sz w:val="32"/>
          <w:szCs w:val="32"/>
        </w:rPr>
        <w:lastRenderedPageBreak/>
        <w:t>代表数量低于往届议会。尽管达利特人占全国人口的14%，但议会中总共只有16名来自达利特社区的议员（其中15人通过比例代表制当选）。议会中只有6名来自穆斯林社区的议员（占2%），他们全都是通过比例代表制当选的。原住民群体（被称为贾那贾提人（Janajati））在议会中虽然有较高的代表人数（67名，占24%），但这一数字仍低于上次选举。</w:t>
      </w:r>
    </w:p>
    <w:p w14:paraId="026DB205"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这次选举进一步加强了上层种姓在议会中的代表权。目前当选的议员几乎一半（131人）属于婆罗门和切特里种姓。各党派使用各种正式和非正式的办法，来增加上层种姓在议会中的代表权。例如，在为提高妇女和边缘群体的代表权而采用的比例代表制选举中，尼泊尔设法为占主导地位的种姓规定了席位配额。</w:t>
      </w:r>
    </w:p>
    <w:p w14:paraId="4553138D" w14:textId="77777777" w:rsidR="00DA206C" w:rsidRDefault="00DA206C" w:rsidP="00DA206C">
      <w:pPr>
        <w:spacing w:before="60" w:after="60" w:line="480" w:lineRule="exact"/>
        <w:ind w:firstLine="640"/>
        <w:rPr>
          <w:rFonts w:ascii="黑体" w:eastAsia="黑体" w:hAnsi="黑体" w:cs="黑体"/>
          <w:sz w:val="32"/>
          <w:szCs w:val="32"/>
        </w:rPr>
      </w:pPr>
      <w:r>
        <w:rPr>
          <w:rFonts w:ascii="黑体" w:eastAsia="黑体" w:hAnsi="黑体" w:cs="黑体" w:hint="eastAsia"/>
          <w:sz w:val="32"/>
          <w:szCs w:val="32"/>
        </w:rPr>
        <w:t>右翼的复苏和资本主义的巩固</w:t>
      </w:r>
    </w:p>
    <w:p w14:paraId="1F21E8BC"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选举帮助右翼政党巩固了他们的议程。旨在将尼泊尔恢复为一个统一的印度教王国的民族民主党在这次选举中取得了重大胜利。民族民主党经历频繁的分裂，仍能取得这一胜利，部分是因为它与最大的左翼政党尼共（联合马列）的联盟。民族民主党争取的对象是那些认为自己的权力和特权受到尼泊尔宪法规定的包容性、世俗主义和联邦制威胁的群体，特别是上层种姓群体。民族民主党的胜利清楚地表明了尼泊尔政治中的右转倾向。</w:t>
      </w:r>
    </w:p>
    <w:p w14:paraId="72EA3CF9"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民族独立党的成功也同样重要。尽管该党尚未正式宣</w:t>
      </w:r>
      <w:r>
        <w:rPr>
          <w:rFonts w:ascii="宋体" w:hAnsi="宋体" w:hint="eastAsia"/>
          <w:sz w:val="32"/>
          <w:szCs w:val="32"/>
        </w:rPr>
        <w:lastRenderedPageBreak/>
        <w:t>布其政治意识形态，但其领导人已对世俗主义和联邦制表现出公开的反感。</w:t>
      </w:r>
    </w:p>
    <w:p w14:paraId="1F322401"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其他政党，包括左翼政党，也在向右转，尼共（联合马列）与民族民主党的联盟就是一个象征。一位著名的君主主义领导人卡迈勒·塔帕（Kamal Thapa）在尼共（联合马列）的选举旗帜下参加了选举。尼共（联合马列）主席</w:t>
      </w:r>
      <w:bookmarkStart w:id="13" w:name="OLE_LINK1"/>
      <w:r>
        <w:rPr>
          <w:rFonts w:ascii="宋体" w:hAnsi="宋体" w:hint="eastAsia"/>
          <w:sz w:val="32"/>
          <w:szCs w:val="32"/>
        </w:rPr>
        <w:t>卡德加·普拉萨德·奥利</w:t>
      </w:r>
      <w:bookmarkEnd w:id="13"/>
      <w:r>
        <w:rPr>
          <w:rFonts w:ascii="宋体" w:hAnsi="宋体" w:hint="eastAsia"/>
          <w:sz w:val="32"/>
          <w:szCs w:val="32"/>
        </w:rPr>
        <w:t>（KP Oli）在建造印度教庙宇、举行宗教仪式和宣传印度教神话方面投入了大量资金和政治资本。奥利在担任总理期间曾组织过一次宗教游行，游行者从他在加德满都的住所出发，前往距离首都200公里的</w:t>
      </w:r>
      <w:bookmarkStart w:id="14" w:name="OLE_LINK3"/>
      <w:r>
        <w:rPr>
          <w:rFonts w:ascii="宋体" w:hAnsi="宋体" w:hint="eastAsia"/>
          <w:sz w:val="32"/>
          <w:szCs w:val="32"/>
        </w:rPr>
        <w:t>奇特旺</w:t>
      </w:r>
      <w:bookmarkEnd w:id="14"/>
      <w:r>
        <w:rPr>
          <w:rFonts w:ascii="宋体" w:hAnsi="宋体" w:hint="eastAsia"/>
          <w:sz w:val="32"/>
          <w:szCs w:val="32"/>
        </w:rPr>
        <w:t>（Chitwan）下辖的一个镇，并树立了印度教神话人物罗摩（Rama）和拉克什曼纳（Laxmana）的塑像，声称罗摩是在尼泊尔而不是在印度出生。尼共（联合马列）在意识形态、文化和实践方面与印度教民族主义的民族民主党似乎并无不同。</w:t>
      </w:r>
    </w:p>
    <w:p w14:paraId="619C0477" w14:textId="4D34907E"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联邦主义和世俗主义的政党，如尼泊尔社会主义人民党（People’s Socialist Party Nepal）和尼泊尔民主社会主义党（Democratic Socialist Party Nepal）在选举中遭受了巨大损失。尼泊尔社会主义人民党由乌彭德拉·亚达夫（Upendra Yadav）领导，亚达夫曾在2007年至2008年的马德西运动（Madhes Movement）</w:t>
      </w:r>
      <w:r>
        <w:rPr>
          <w:rStyle w:val="af0"/>
          <w:rFonts w:ascii="宋体" w:hAnsi="宋体"/>
          <w:sz w:val="32"/>
          <w:szCs w:val="32"/>
        </w:rPr>
        <w:footnoteReference w:customMarkFollows="1" w:id="9"/>
        <w:t>[6]</w:t>
      </w:r>
      <w:r>
        <w:rPr>
          <w:rFonts w:ascii="宋体" w:hAnsi="宋体" w:hint="eastAsia"/>
          <w:sz w:val="32"/>
          <w:szCs w:val="32"/>
        </w:rPr>
        <w:t>中成为马德西人的领导人。尼泊尔民主社会主义党则由另一位马德</w:t>
      </w:r>
      <w:r>
        <w:rPr>
          <w:rFonts w:ascii="宋体" w:hAnsi="宋体" w:hint="eastAsia"/>
          <w:sz w:val="32"/>
          <w:szCs w:val="32"/>
        </w:rPr>
        <w:lastRenderedPageBreak/>
        <w:t>西领导人马汉塔·塔库尔（Mahanta Thakur）领导。这两个政党总共只赢得了20个席位（7%）。它们的失败主要不是因为选民不认可其议程，而是因为其领导人以自我为中心的腐败政治，他们对使自己崭露头角的东西缺乏明确的认识和承诺，特别是对于马德西人的权益问题。同时，他们的失利也意味着联邦制和包容性在尼泊尔政治中的边缘化。</w:t>
      </w:r>
    </w:p>
    <w:p w14:paraId="39643BB9"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一个令人瞩目的结果是，大量的承包商、商人和实业家通过不同的政党参加议会选举而当选议员，其中包括那些自称“共产主义”的政党。超过20名实业家、商人以及许多来自尼泊尔著名建筑公司的承包商成功当选。例如，尼泊尔唯一的亿万富翁比诺德·乔达里（Binod Choudhary）曾两次通过简单多数制选举当选议员，这次则通过比例代表制选举当选议员。尼泊尔的选举已经深受富人影响，而现在经济精英将对政策产生更直接的影响。</w:t>
      </w:r>
    </w:p>
    <w:p w14:paraId="5553F0A9"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即使是左翼政党也推行着官僚资本主义，因为它们的领导人变得对自己的阶级流动感兴趣。近年来，左翼政党与富人和商业阶层建立了联系，事实证明，他们成功地利用了一切可以利用的优势。左翼领导人和干部越来越多地成为学校、大学、合作社和医院的中间人、承包商和投资者。</w:t>
      </w:r>
    </w:p>
    <w:p w14:paraId="1044760A" w14:textId="77777777" w:rsidR="00DA206C" w:rsidRDefault="00DA206C" w:rsidP="00DA206C">
      <w:pPr>
        <w:spacing w:before="60" w:after="60" w:line="480" w:lineRule="exact"/>
        <w:ind w:firstLine="640"/>
        <w:rPr>
          <w:rFonts w:ascii="黑体" w:eastAsia="黑体" w:hAnsi="黑体" w:cs="黑体"/>
          <w:sz w:val="32"/>
          <w:szCs w:val="32"/>
        </w:rPr>
      </w:pPr>
      <w:r>
        <w:rPr>
          <w:rFonts w:ascii="黑体" w:eastAsia="黑体" w:hAnsi="黑体" w:cs="黑体" w:hint="eastAsia"/>
          <w:sz w:val="32"/>
          <w:szCs w:val="32"/>
        </w:rPr>
        <w:t>左翼的衰落和未来的挑战</w:t>
      </w:r>
    </w:p>
    <w:p w14:paraId="2D710DAA"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去年（2022年）11月的选举证明了尼泊尔左翼的衰落。</w:t>
      </w:r>
      <w:r>
        <w:rPr>
          <w:rFonts w:ascii="宋体" w:hAnsi="宋体" w:hint="eastAsia"/>
          <w:sz w:val="32"/>
          <w:szCs w:val="32"/>
        </w:rPr>
        <w:lastRenderedPageBreak/>
        <w:t>人们可以把左翼的失败归咎于它过多的分裂，但这是一种懒惰的分析。分裂尽管似乎是造成失败的一个原因，但却不是真正的原因。</w:t>
      </w:r>
    </w:p>
    <w:p w14:paraId="6525F6CA"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尼泊尔的共产主义政党因分裂而名声扫地。尼泊尔毛主义者自2006年加入和平进程以来，已经分裂成至少6个政党。20世纪90年代以来，尼泊尔共产党（联合马列）也经历了类似的命运。截至目前，尼泊尔至少有十几个政党声称自己是共产主义政党或者至少是左翼政党。然而这些政党衰落的主要因素是，它们越来越远离穷人和边缘群体的利益。这些政党尽管声称自己是左翼、社会主义甚至共产主义，但从它们的实践来看，人们完全可以公正地说，尼泊尔的左翼正在向右偏移。因此，尼泊尔的普通人对它们的看法也越来越消极。</w:t>
      </w:r>
    </w:p>
    <w:p w14:paraId="7C79A0E2"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尼泊尔的左翼政党没有执行它们的宪制任务，即重组社会和国家，使宪法更加民主和以人民为中心，反而在这个议程上倒退了。它们没能准确地诊断出尼泊尔社会基于种姓和阶级的矛盾。因此，使尼泊尔社会革命化的希望已经从地平线上消失了，而左翼政党本应与此联系在一起。</w:t>
      </w:r>
    </w:p>
    <w:p w14:paraId="611E07D1"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尽管尼泊尔左翼的意识形态和实践越来越右倾，但它们仍然设法赢得了大量选票——大约43%。原因有很多，但有一点很清楚：吸引这些选票的不是左翼政党的社会主义意识形态和实践，而是它们对民族主义和印度教的顺从。</w:t>
      </w:r>
    </w:p>
    <w:p w14:paraId="581ED7BB"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去年11月的选举为严重倒退和右翼政治的复苏创造了</w:t>
      </w:r>
      <w:r>
        <w:rPr>
          <w:rFonts w:ascii="宋体" w:hAnsi="宋体" w:hint="eastAsia"/>
          <w:sz w:val="32"/>
          <w:szCs w:val="32"/>
        </w:rPr>
        <w:lastRenderedPageBreak/>
        <w:t>肥沃的土壤。尼泊尔的统治阶级对于即使很小的改变也感到不满，并打算推翻这些改变。这样的逆转在尼共（联合马列）和尼共（毛主义）合并后形成的“左翼”政府执政下已经开始。因此，我们只能认为，在右翼政党主导议会的情况下，这种逆转将进一步加速。</w:t>
      </w:r>
    </w:p>
    <w:p w14:paraId="324715F9" w14:textId="2BD7E46D"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近年来尼泊尔的社会和政治冲突有所缓和，但这并不意味着根本问题已经解决，也不意味着人们对国家不再感到愤怒和沮丧。边缘群体和穷人的反抗目前比较平静，这并不是因为当局对他们更加公正或公平，而是因为尼泊尔各政党一面拉</w:t>
      </w:r>
      <w:bookmarkStart w:id="15" w:name="OLE_LINK9"/>
      <w:r>
        <w:rPr>
          <w:rFonts w:ascii="宋体" w:hAnsi="宋体" w:hint="eastAsia"/>
          <w:sz w:val="32"/>
          <w:szCs w:val="32"/>
        </w:rPr>
        <w:t>拢代表边缘群体和穷人的领导者和活动人士，</w:t>
      </w:r>
      <w:bookmarkEnd w:id="15"/>
      <w:r>
        <w:rPr>
          <w:rFonts w:ascii="宋体" w:hAnsi="宋体" w:hint="eastAsia"/>
          <w:sz w:val="32"/>
          <w:szCs w:val="32"/>
        </w:rPr>
        <w:t>一面压制异议。与此同时，尼泊尔正变得更加排他，在过去20年取得的成果上出现了前所未有的倒退。</w:t>
      </w:r>
    </w:p>
    <w:p w14:paraId="6C22C0A7" w14:textId="77777777" w:rsidR="00DA206C" w:rsidRDefault="00DA206C" w:rsidP="00DA206C">
      <w:pPr>
        <w:ind w:firstLine="560"/>
        <w:rPr>
          <w:rFonts w:ascii="黑体" w:eastAsia="黑体" w:hAnsi="黑体"/>
          <w:szCs w:val="36"/>
        </w:rPr>
      </w:pPr>
      <w:r>
        <w:rPr>
          <w:rFonts w:ascii="黑体" w:eastAsia="黑体" w:hAnsi="黑体" w:hint="eastAsia"/>
          <w:szCs w:val="36"/>
        </w:rPr>
        <w:br w:type="page"/>
      </w:r>
    </w:p>
    <w:p w14:paraId="0C45C6A6" w14:textId="77777777" w:rsidR="00DA206C" w:rsidRDefault="00DA206C" w:rsidP="00DA206C">
      <w:pPr>
        <w:pStyle w:val="1"/>
        <w:rPr>
          <w:rFonts w:ascii="黑体" w:eastAsia="黑体" w:hAnsi="黑体"/>
          <w:sz w:val="32"/>
          <w:szCs w:val="32"/>
        </w:rPr>
      </w:pPr>
      <w:bookmarkStart w:id="16" w:name="_Toc25147"/>
      <w:bookmarkStart w:id="17" w:name="_Toc164197986"/>
      <w:r>
        <w:rPr>
          <w:rFonts w:ascii="黑体" w:eastAsia="黑体" w:hAnsi="黑体" w:hint="eastAsia"/>
          <w:szCs w:val="36"/>
        </w:rPr>
        <w:lastRenderedPageBreak/>
        <w:t>匈牙利工人党2006-欧洲左翼领导人访谈</w:t>
      </w:r>
      <w:bookmarkEnd w:id="16"/>
      <w:bookmarkEnd w:id="17"/>
    </w:p>
    <w:p w14:paraId="6BE28B12" w14:textId="77777777" w:rsidR="00DA206C" w:rsidRDefault="00DA206C" w:rsidP="00DA206C">
      <w:pPr>
        <w:ind w:firstLineChars="0" w:firstLine="0"/>
        <w:jc w:val="center"/>
      </w:pPr>
      <w:r>
        <w:rPr>
          <w:rFonts w:ascii="Times New Roman" w:hAnsi="Times New Roman"/>
          <w:noProof/>
          <w:sz w:val="24"/>
        </w:rPr>
        <w:drawing>
          <wp:inline distT="0" distB="0" distL="0" distR="0" wp14:anchorId="0BE30810" wp14:editId="1FAD1BDA">
            <wp:extent cx="5148000" cy="2898133"/>
            <wp:effectExtent l="0" t="0" r="0" b="0"/>
            <wp:docPr id="10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pic:nvPicPr>
                  <pic:blipFill>
                    <a:blip r:embed="rId22" cstate="print"/>
                    <a:srcRect/>
                    <a:stretch/>
                  </pic:blipFill>
                  <pic:spPr>
                    <a:xfrm>
                      <a:off x="0" y="0"/>
                      <a:ext cx="5148000" cy="2898133"/>
                    </a:xfrm>
                    <a:prstGeom prst="rect">
                      <a:avLst/>
                    </a:prstGeom>
                    <a:ln>
                      <a:noFill/>
                    </a:ln>
                  </pic:spPr>
                </pic:pic>
              </a:graphicData>
            </a:graphic>
          </wp:inline>
        </w:drawing>
      </w:r>
    </w:p>
    <w:p w14:paraId="6CFE174A" w14:textId="77777777" w:rsidR="00DA206C" w:rsidRDefault="00DA206C" w:rsidP="00DA206C">
      <w:pPr>
        <w:spacing w:before="24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来源：</w:t>
      </w:r>
      <w:r>
        <w:rPr>
          <w:rFonts w:ascii="Times New Roman" w:eastAsia="仿宋" w:hAnsi="Times New Roman" w:cs="Times New Roman" w:hint="eastAsia"/>
          <w:szCs w:val="28"/>
        </w:rPr>
        <w:t>印度“人民快讯”网站</w:t>
      </w:r>
    </w:p>
    <w:p w14:paraId="6AD0657F" w14:textId="77777777" w:rsidR="00DA206C" w:rsidRDefault="00DA206C" w:rsidP="00DA206C">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日期</w:t>
      </w:r>
      <w:r>
        <w:rPr>
          <w:rFonts w:ascii="Times New Roman" w:eastAsia="仿宋" w:hAnsi="Times New Roman" w:cs="Times New Roman"/>
          <w:szCs w:val="28"/>
        </w:rPr>
        <w:t>：</w:t>
      </w:r>
      <w:r>
        <w:rPr>
          <w:rFonts w:ascii="Times New Roman" w:eastAsia="仿宋" w:hAnsi="Times New Roman" w:cs="Times New Roman"/>
          <w:szCs w:val="28"/>
        </w:rPr>
        <w:t>2023</w:t>
      </w:r>
      <w:r>
        <w:rPr>
          <w:rFonts w:ascii="Times New Roman" w:eastAsia="仿宋" w:hAnsi="Times New Roman" w:cs="Times New Roman"/>
          <w:szCs w:val="28"/>
        </w:rPr>
        <w:t>年</w:t>
      </w:r>
      <w:r>
        <w:rPr>
          <w:rFonts w:ascii="Times New Roman" w:eastAsia="仿宋" w:hAnsi="Times New Roman" w:cs="Times New Roman" w:hint="eastAsia"/>
          <w:szCs w:val="28"/>
        </w:rPr>
        <w:t>4</w:t>
      </w:r>
      <w:r>
        <w:rPr>
          <w:rFonts w:ascii="Times New Roman" w:eastAsia="仿宋" w:hAnsi="Times New Roman" w:cs="Times New Roman"/>
          <w:szCs w:val="28"/>
        </w:rPr>
        <w:t>月</w:t>
      </w:r>
      <w:r>
        <w:rPr>
          <w:rFonts w:ascii="Times New Roman" w:eastAsia="仿宋" w:hAnsi="Times New Roman" w:cs="Times New Roman" w:hint="eastAsia"/>
          <w:szCs w:val="28"/>
        </w:rPr>
        <w:t>14</w:t>
      </w:r>
      <w:r>
        <w:rPr>
          <w:rFonts w:ascii="Times New Roman" w:eastAsia="仿宋" w:hAnsi="Times New Roman" w:cs="Times New Roman" w:hint="eastAsia"/>
          <w:szCs w:val="28"/>
        </w:rPr>
        <w:t>日</w:t>
      </w:r>
    </w:p>
    <w:p w14:paraId="57D29D77" w14:textId="77777777" w:rsidR="00DA206C" w:rsidRDefault="00DA206C" w:rsidP="00DA206C">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题图：布达佩斯布达城堡入口处，抗议匈牙利社会租赁住房部门私有化的横幅。</w:t>
      </w:r>
    </w:p>
    <w:p w14:paraId="45EFC076" w14:textId="77777777" w:rsidR="00DA206C" w:rsidRDefault="00DA206C" w:rsidP="00DA206C">
      <w:pPr>
        <w:spacing w:before="120" w:after="240" w:line="360" w:lineRule="exact"/>
        <w:ind w:firstLine="560"/>
        <w:jc w:val="left"/>
        <w:rPr>
          <w:rStyle w:val="af"/>
          <w:rFonts w:ascii="Times New Roman" w:eastAsia="仿宋" w:hAnsi="Times New Roman" w:cs="Times New Roman"/>
          <w:szCs w:val="28"/>
        </w:rPr>
      </w:pPr>
      <w:r>
        <w:rPr>
          <w:rFonts w:ascii="Times New Roman" w:eastAsia="仿宋" w:hAnsi="Times New Roman" w:cs="Times New Roman"/>
          <w:szCs w:val="28"/>
        </w:rPr>
        <w:t>链接</w:t>
      </w:r>
      <w:r>
        <w:rPr>
          <w:rFonts w:ascii="Times New Roman" w:eastAsia="仿宋" w:hAnsi="Times New Roman" w:cs="Times New Roman" w:hint="eastAsia"/>
          <w:szCs w:val="28"/>
        </w:rPr>
        <w:t>：</w:t>
      </w:r>
      <w:hyperlink r:id="rId23" w:history="1">
        <w:r>
          <w:rPr>
            <w:rStyle w:val="af"/>
            <w:rFonts w:ascii="Times New Roman" w:eastAsia="仿宋" w:hAnsi="Times New Roman" w:cs="Times New Roman"/>
            <w:szCs w:val="28"/>
          </w:rPr>
          <w:t>https://peoplesdispatch.org/2023/04/14/hungarian-society-is-in-a-social-crisis/</w:t>
        </w:r>
      </w:hyperlink>
    </w:p>
    <w:p w14:paraId="19B74DBB"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《人民快讯》（</w:t>
      </w:r>
      <w:r>
        <w:rPr>
          <w:rFonts w:ascii="宋体" w:hAnsi="宋体"/>
          <w:sz w:val="32"/>
          <w:szCs w:val="32"/>
        </w:rPr>
        <w:t>Peoples Dispatch</w:t>
      </w:r>
      <w:r>
        <w:rPr>
          <w:rFonts w:ascii="宋体" w:hAnsi="宋体" w:hint="eastAsia"/>
          <w:sz w:val="32"/>
          <w:szCs w:val="32"/>
        </w:rPr>
        <w:t>）在与匈牙利工人党</w:t>
      </w:r>
      <w:r>
        <w:rPr>
          <w:rFonts w:ascii="宋体" w:hAnsi="宋体"/>
          <w:sz w:val="32"/>
          <w:szCs w:val="32"/>
        </w:rPr>
        <w:t>2006</w:t>
      </w:r>
      <w:r>
        <w:rPr>
          <w:rFonts w:ascii="宋体" w:hAnsi="宋体" w:hint="eastAsia"/>
          <w:sz w:val="32"/>
          <w:szCs w:val="32"/>
        </w:rPr>
        <w:t>-欧洲左翼（</w:t>
      </w:r>
      <w:r>
        <w:rPr>
          <w:rFonts w:ascii="宋体" w:hAnsi="宋体"/>
          <w:sz w:val="32"/>
          <w:szCs w:val="32"/>
        </w:rPr>
        <w:t>Hungarian Workers’ Party 2006 – European Left</w:t>
      </w:r>
      <w:r>
        <w:rPr>
          <w:rFonts w:ascii="宋体" w:hAnsi="宋体" w:hint="eastAsia"/>
          <w:sz w:val="32"/>
          <w:szCs w:val="32"/>
        </w:rPr>
        <w:t>）</w:t>
      </w:r>
      <w:r>
        <w:rPr>
          <w:rStyle w:val="af0"/>
          <w:rFonts w:ascii="宋体" w:hAnsi="宋体"/>
          <w:sz w:val="32"/>
          <w:szCs w:val="32"/>
        </w:rPr>
        <w:footnoteReference w:customMarkFollows="1" w:id="10"/>
        <w:t>[1]</w:t>
      </w:r>
      <w:r>
        <w:rPr>
          <w:rFonts w:ascii="宋体" w:hAnsi="宋体" w:hint="eastAsia"/>
          <w:sz w:val="32"/>
          <w:szCs w:val="32"/>
        </w:rPr>
        <w:t>的领导人阿提拉·瓦伊纳依（</w:t>
      </w:r>
      <w:r>
        <w:rPr>
          <w:rFonts w:ascii="宋体" w:hAnsi="宋体"/>
          <w:sz w:val="32"/>
          <w:szCs w:val="32"/>
        </w:rPr>
        <w:t>Vajnai Attila</w:t>
      </w:r>
      <w:r>
        <w:rPr>
          <w:rFonts w:ascii="宋体" w:hAnsi="宋体" w:hint="eastAsia"/>
          <w:sz w:val="32"/>
          <w:szCs w:val="32"/>
        </w:rPr>
        <w:t>）</w:t>
      </w:r>
      <w:r>
        <w:rPr>
          <w:rFonts w:ascii="宋体" w:hAnsi="宋体"/>
          <w:sz w:val="32"/>
          <w:szCs w:val="32"/>
        </w:rPr>
        <w:t>的</w:t>
      </w:r>
      <w:r>
        <w:rPr>
          <w:rFonts w:ascii="宋体" w:hAnsi="宋体" w:hint="eastAsia"/>
          <w:sz w:val="32"/>
          <w:szCs w:val="32"/>
        </w:rPr>
        <w:t>对话</w:t>
      </w:r>
      <w:r>
        <w:rPr>
          <w:rFonts w:ascii="宋体" w:hAnsi="宋体"/>
          <w:sz w:val="32"/>
          <w:szCs w:val="32"/>
        </w:rPr>
        <w:t>中，谈到了匈牙利的政治形势</w:t>
      </w:r>
      <w:r>
        <w:rPr>
          <w:rFonts w:ascii="宋体" w:hAnsi="宋体" w:hint="eastAsia"/>
          <w:sz w:val="32"/>
          <w:szCs w:val="32"/>
        </w:rPr>
        <w:t>、欧尔</w:t>
      </w:r>
      <w:r>
        <w:rPr>
          <w:rFonts w:ascii="宋体" w:hAnsi="宋体" w:hint="eastAsia"/>
          <w:sz w:val="32"/>
          <w:szCs w:val="32"/>
        </w:rPr>
        <w:lastRenderedPageBreak/>
        <w:t>班·维克托</w:t>
      </w:r>
      <w:r>
        <w:rPr>
          <w:rFonts w:ascii="宋体" w:hAnsi="宋体"/>
          <w:sz w:val="32"/>
          <w:szCs w:val="32"/>
        </w:rPr>
        <w:t>领导的右翼政府的政策以及持续的生活成本危机。</w:t>
      </w:r>
    </w:p>
    <w:p w14:paraId="282DB0C3" w14:textId="77777777" w:rsidR="00DA206C" w:rsidRDefault="00DA206C" w:rsidP="00DA206C">
      <w:pPr>
        <w:spacing w:before="60" w:after="60" w:line="480" w:lineRule="exact"/>
        <w:ind w:firstLine="640"/>
        <w:rPr>
          <w:rFonts w:ascii="黑体" w:eastAsia="黑体" w:hAnsi="黑体"/>
          <w:sz w:val="32"/>
          <w:szCs w:val="32"/>
        </w:rPr>
      </w:pPr>
      <w:r>
        <w:rPr>
          <w:rFonts w:ascii="黑体" w:eastAsia="黑体" w:hAnsi="黑体" w:hint="eastAsia"/>
          <w:sz w:val="32"/>
          <w:szCs w:val="32"/>
        </w:rPr>
        <w:t>《人民快讯》（以下简称“问”）：你如何评价欧尔班·维克托</w:t>
      </w:r>
      <w:r>
        <w:rPr>
          <w:rFonts w:ascii="黑体" w:eastAsia="黑体" w:hAnsi="黑体"/>
          <w:sz w:val="32"/>
          <w:szCs w:val="32"/>
        </w:rPr>
        <w:t>领导的匈牙利</w:t>
      </w:r>
      <w:r>
        <w:rPr>
          <w:rFonts w:ascii="黑体" w:eastAsia="黑体" w:hAnsi="黑体" w:hint="eastAsia"/>
          <w:sz w:val="32"/>
          <w:szCs w:val="32"/>
        </w:rPr>
        <w:t>现任</w:t>
      </w:r>
      <w:r>
        <w:rPr>
          <w:rFonts w:ascii="黑体" w:eastAsia="黑体" w:hAnsi="黑体"/>
          <w:sz w:val="32"/>
          <w:szCs w:val="32"/>
        </w:rPr>
        <w:t>青</w:t>
      </w:r>
      <w:r>
        <w:rPr>
          <w:rFonts w:ascii="黑体" w:eastAsia="黑体" w:hAnsi="黑体" w:hint="eastAsia"/>
          <w:sz w:val="32"/>
          <w:szCs w:val="32"/>
        </w:rPr>
        <w:t>民盟（</w:t>
      </w:r>
      <w:r>
        <w:rPr>
          <w:rFonts w:ascii="黑体" w:eastAsia="黑体" w:hAnsi="黑体"/>
          <w:sz w:val="32"/>
          <w:szCs w:val="32"/>
        </w:rPr>
        <w:t>Fidesz</w:t>
      </w:r>
      <w:r>
        <w:rPr>
          <w:rFonts w:ascii="黑体" w:eastAsia="黑体" w:hAnsi="黑体" w:hint="eastAsia"/>
          <w:sz w:val="32"/>
          <w:szCs w:val="32"/>
        </w:rPr>
        <w:t>）</w:t>
      </w:r>
      <w:r>
        <w:rPr>
          <w:rFonts w:ascii="黑体" w:eastAsia="黑体" w:hAnsi="黑体"/>
          <w:sz w:val="32"/>
          <w:szCs w:val="32"/>
        </w:rPr>
        <w:t>政府？你如何评价</w:t>
      </w:r>
      <w:r>
        <w:rPr>
          <w:rFonts w:ascii="黑体" w:eastAsia="黑体" w:hAnsi="黑体" w:hint="eastAsia"/>
          <w:sz w:val="32"/>
          <w:szCs w:val="32"/>
        </w:rPr>
        <w:t>匈牙利现</w:t>
      </w:r>
      <w:r>
        <w:rPr>
          <w:rFonts w:ascii="黑体" w:eastAsia="黑体" w:hAnsi="黑体"/>
          <w:sz w:val="32"/>
          <w:szCs w:val="32"/>
        </w:rPr>
        <w:t>政府</w:t>
      </w:r>
      <w:r>
        <w:rPr>
          <w:rFonts w:ascii="黑体" w:eastAsia="黑体" w:hAnsi="黑体" w:hint="eastAsia"/>
          <w:sz w:val="32"/>
          <w:szCs w:val="32"/>
        </w:rPr>
        <w:t>针</w:t>
      </w:r>
      <w:r>
        <w:rPr>
          <w:rFonts w:ascii="黑体" w:eastAsia="黑体" w:hAnsi="黑体"/>
          <w:sz w:val="32"/>
          <w:szCs w:val="32"/>
        </w:rPr>
        <w:t>对工人阶级</w:t>
      </w:r>
      <w:r>
        <w:rPr>
          <w:rFonts w:ascii="黑体" w:eastAsia="黑体" w:hAnsi="黑体" w:hint="eastAsia"/>
          <w:sz w:val="32"/>
          <w:szCs w:val="32"/>
        </w:rPr>
        <w:t>和人民的一般福利采取</w:t>
      </w:r>
      <w:r>
        <w:rPr>
          <w:rFonts w:ascii="黑体" w:eastAsia="黑体" w:hAnsi="黑体"/>
          <w:sz w:val="32"/>
          <w:szCs w:val="32"/>
        </w:rPr>
        <w:t>的政策？</w:t>
      </w:r>
    </w:p>
    <w:p w14:paraId="7BE2FAA9"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阿提拉·瓦伊纳依（以下简称“答”）：匈牙利现政府是一个极右翼政府。青民盟作为一个政党，奉行新自由主义政治路线，具有保守的所谓基督教民主（</w:t>
      </w:r>
      <w:r>
        <w:rPr>
          <w:rFonts w:ascii="宋体" w:hAnsi="宋体"/>
          <w:sz w:val="32"/>
          <w:szCs w:val="32"/>
        </w:rPr>
        <w:t>Christian-democratic</w:t>
      </w:r>
      <w:r>
        <w:rPr>
          <w:rFonts w:ascii="宋体" w:hAnsi="宋体" w:hint="eastAsia"/>
          <w:sz w:val="32"/>
          <w:szCs w:val="32"/>
        </w:rPr>
        <w:t>）的意识形态背景，强烈地反共和仇视移民。他们以低税收支持大资本，并压低工人工资。</w:t>
      </w:r>
    </w:p>
    <w:p w14:paraId="4DB70CB8" w14:textId="77777777" w:rsidR="00DA206C" w:rsidRDefault="00DA206C" w:rsidP="00DA206C">
      <w:pPr>
        <w:spacing w:before="60" w:after="60" w:line="480" w:lineRule="exact"/>
        <w:ind w:firstLine="640"/>
        <w:rPr>
          <w:rFonts w:ascii="黑体" w:eastAsia="黑体" w:hAnsi="黑体"/>
          <w:sz w:val="32"/>
          <w:szCs w:val="32"/>
        </w:rPr>
      </w:pPr>
      <w:r>
        <w:rPr>
          <w:rFonts w:ascii="黑体" w:eastAsia="黑体" w:hAnsi="黑体" w:hint="eastAsia"/>
          <w:sz w:val="32"/>
          <w:szCs w:val="32"/>
        </w:rPr>
        <w:t>问：在你看来，什么原因让青民盟和欧尔班</w:t>
      </w:r>
      <w:r>
        <w:rPr>
          <w:rFonts w:ascii="黑体" w:eastAsia="黑体" w:hAnsi="黑体"/>
          <w:sz w:val="32"/>
          <w:szCs w:val="32"/>
        </w:rPr>
        <w:t>赢得</w:t>
      </w:r>
      <w:r>
        <w:rPr>
          <w:rFonts w:ascii="黑体" w:eastAsia="黑体" w:hAnsi="黑体" w:hint="eastAsia"/>
          <w:sz w:val="32"/>
          <w:szCs w:val="32"/>
        </w:rPr>
        <w:t>了</w:t>
      </w:r>
      <w:r>
        <w:rPr>
          <w:rFonts w:ascii="黑体" w:eastAsia="黑体" w:hAnsi="黑体"/>
          <w:sz w:val="32"/>
          <w:szCs w:val="32"/>
        </w:rPr>
        <w:t>公众支持并继续执政？支持</w:t>
      </w:r>
      <w:r>
        <w:rPr>
          <w:rFonts w:ascii="黑体" w:eastAsia="黑体" w:hAnsi="黑体" w:hint="eastAsia"/>
          <w:sz w:val="32"/>
          <w:szCs w:val="32"/>
        </w:rPr>
        <w:t>欧尔班</w:t>
      </w:r>
      <w:r>
        <w:rPr>
          <w:rFonts w:ascii="黑体" w:eastAsia="黑体" w:hAnsi="黑体"/>
          <w:sz w:val="32"/>
          <w:szCs w:val="32"/>
        </w:rPr>
        <w:t>政府的</w:t>
      </w:r>
      <w:r>
        <w:rPr>
          <w:rFonts w:ascii="黑体" w:eastAsia="黑体" w:hAnsi="黑体" w:hint="eastAsia"/>
          <w:sz w:val="32"/>
          <w:szCs w:val="32"/>
        </w:rPr>
        <w:t>群体</w:t>
      </w:r>
      <w:r>
        <w:rPr>
          <w:rFonts w:ascii="黑体" w:eastAsia="黑体" w:hAnsi="黑体"/>
          <w:sz w:val="32"/>
          <w:szCs w:val="32"/>
        </w:rPr>
        <w:t>有哪些</w:t>
      </w:r>
      <w:r>
        <w:rPr>
          <w:rFonts w:ascii="黑体" w:eastAsia="黑体" w:hAnsi="黑体" w:hint="eastAsia"/>
          <w:sz w:val="32"/>
          <w:szCs w:val="32"/>
        </w:rPr>
        <w:t>？他们</w:t>
      </w:r>
      <w:r>
        <w:rPr>
          <w:rFonts w:ascii="黑体" w:eastAsia="黑体" w:hAnsi="黑体"/>
          <w:sz w:val="32"/>
          <w:szCs w:val="32"/>
        </w:rPr>
        <w:t>支持欧尔班政府的原因是什么？</w:t>
      </w:r>
    </w:p>
    <w:p w14:paraId="026FDB45"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答：只有右翼的和新自由主义的政党（</w:t>
      </w:r>
      <w:r>
        <w:rPr>
          <w:rFonts w:ascii="宋体" w:hAnsi="宋体"/>
          <w:sz w:val="32"/>
          <w:szCs w:val="32"/>
        </w:rPr>
        <w:t>绿党、社会民主党和其他政党</w:t>
      </w:r>
      <w:r>
        <w:rPr>
          <w:rFonts w:ascii="宋体" w:hAnsi="宋体" w:hint="eastAsia"/>
          <w:sz w:val="32"/>
          <w:szCs w:val="32"/>
        </w:rPr>
        <w:t>）在议会和媒体中拥有代理人</w:t>
      </w:r>
      <w:r>
        <w:rPr>
          <w:rFonts w:ascii="宋体" w:hAnsi="宋体"/>
          <w:sz w:val="32"/>
          <w:szCs w:val="32"/>
        </w:rPr>
        <w:t>。一般来说，他们与青民盟</w:t>
      </w:r>
      <w:r>
        <w:rPr>
          <w:rFonts w:ascii="宋体" w:hAnsi="宋体" w:hint="eastAsia"/>
          <w:sz w:val="32"/>
          <w:szCs w:val="32"/>
        </w:rPr>
        <w:t>有着相同</w:t>
      </w:r>
      <w:r>
        <w:rPr>
          <w:rFonts w:ascii="宋体" w:hAnsi="宋体"/>
          <w:sz w:val="32"/>
          <w:szCs w:val="32"/>
        </w:rPr>
        <w:t>的新自由主义政策，</w:t>
      </w:r>
      <w:r>
        <w:rPr>
          <w:rFonts w:ascii="宋体" w:hAnsi="宋体" w:hint="eastAsia"/>
          <w:sz w:val="32"/>
          <w:szCs w:val="32"/>
        </w:rPr>
        <w:t>但在欧盟、布鲁塞尔等问题上，他们有着另一套说辞</w:t>
      </w:r>
      <w:r>
        <w:rPr>
          <w:rFonts w:ascii="宋体" w:hAnsi="宋体"/>
          <w:sz w:val="32"/>
          <w:szCs w:val="32"/>
        </w:rPr>
        <w:t>。大多数选民</w:t>
      </w:r>
      <w:r>
        <w:rPr>
          <w:rFonts w:ascii="宋体" w:hAnsi="宋体" w:hint="eastAsia"/>
          <w:sz w:val="32"/>
          <w:szCs w:val="32"/>
        </w:rPr>
        <w:t>认为（欧尔班政府的）</w:t>
      </w:r>
      <w:r>
        <w:rPr>
          <w:rFonts w:ascii="宋体" w:hAnsi="宋体"/>
          <w:sz w:val="32"/>
          <w:szCs w:val="32"/>
        </w:rPr>
        <w:t>反对派不会改变政策的主线，他们不</w:t>
      </w:r>
      <w:r>
        <w:rPr>
          <w:rFonts w:ascii="宋体" w:hAnsi="宋体" w:hint="eastAsia"/>
          <w:sz w:val="32"/>
          <w:szCs w:val="32"/>
        </w:rPr>
        <w:t>了解左翼的替代方案</w:t>
      </w:r>
      <w:r>
        <w:rPr>
          <w:rFonts w:ascii="宋体" w:hAnsi="宋体"/>
          <w:sz w:val="32"/>
          <w:szCs w:val="32"/>
        </w:rPr>
        <w:t>。极右翼政党</w:t>
      </w:r>
      <w:r>
        <w:rPr>
          <w:rFonts w:ascii="宋体" w:hAnsi="宋体" w:hint="eastAsia"/>
          <w:sz w:val="32"/>
          <w:szCs w:val="32"/>
        </w:rPr>
        <w:t>趁着经济危机散布了煽动性的、偏激</w:t>
      </w:r>
      <w:r>
        <w:rPr>
          <w:rFonts w:ascii="宋体" w:hAnsi="宋体"/>
          <w:sz w:val="32"/>
          <w:szCs w:val="32"/>
        </w:rPr>
        <w:t>的政治信息。</w:t>
      </w:r>
    </w:p>
    <w:p w14:paraId="183B932D" w14:textId="77777777" w:rsidR="00DA206C" w:rsidRDefault="00DA206C" w:rsidP="00DA206C">
      <w:pPr>
        <w:spacing w:before="60" w:after="60" w:line="480" w:lineRule="exact"/>
        <w:ind w:firstLine="640"/>
        <w:rPr>
          <w:rFonts w:ascii="黑体" w:eastAsia="黑体" w:hAnsi="黑体"/>
          <w:sz w:val="32"/>
          <w:szCs w:val="32"/>
        </w:rPr>
      </w:pPr>
      <w:r>
        <w:rPr>
          <w:rFonts w:ascii="黑体" w:eastAsia="黑体" w:hAnsi="黑体" w:hint="eastAsia"/>
          <w:sz w:val="32"/>
          <w:szCs w:val="32"/>
        </w:rPr>
        <w:t>问：欧洲正经历着严重的生活成本危机，俄乌</w:t>
      </w:r>
      <w:r>
        <w:rPr>
          <w:rFonts w:ascii="黑体" w:eastAsia="黑体" w:hAnsi="黑体"/>
          <w:sz w:val="32"/>
          <w:szCs w:val="32"/>
        </w:rPr>
        <w:t>战争导致燃料和食品价格飙升，能源供应商从中牟取暴利。匈牙</w:t>
      </w:r>
      <w:r>
        <w:rPr>
          <w:rFonts w:ascii="黑体" w:eastAsia="黑体" w:hAnsi="黑体"/>
          <w:sz w:val="32"/>
          <w:szCs w:val="32"/>
        </w:rPr>
        <w:lastRenderedPageBreak/>
        <w:t>利的情况如何？</w:t>
      </w:r>
      <w:r>
        <w:rPr>
          <w:rFonts w:ascii="黑体" w:eastAsia="黑体" w:hAnsi="黑体" w:hint="eastAsia"/>
          <w:sz w:val="32"/>
          <w:szCs w:val="32"/>
        </w:rPr>
        <w:t>匈牙利</w:t>
      </w:r>
      <w:r>
        <w:rPr>
          <w:rFonts w:ascii="黑体" w:eastAsia="黑体" w:hAnsi="黑体"/>
          <w:sz w:val="32"/>
          <w:szCs w:val="32"/>
        </w:rPr>
        <w:t>政府对此有何应对措施？</w:t>
      </w:r>
    </w:p>
    <w:p w14:paraId="4089E62A"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答：匈牙利政府试图控制家用能源价格，但他们没有足够的资金帮助中小企业。这是因为他们把钱给了大公司和寡头。匈牙利社会正处于社会危机之中，政府没有足够的资源来解决这次危机，他们不想改变新自由主义的能源模式和税收制度。</w:t>
      </w:r>
    </w:p>
    <w:p w14:paraId="054FA850" w14:textId="77777777" w:rsidR="00DA206C" w:rsidRDefault="00DA206C" w:rsidP="00DA206C">
      <w:pPr>
        <w:spacing w:before="60" w:after="60" w:line="480" w:lineRule="exact"/>
        <w:ind w:firstLine="640"/>
        <w:rPr>
          <w:rFonts w:ascii="黑体" w:eastAsia="黑体" w:hAnsi="黑体"/>
          <w:sz w:val="32"/>
          <w:szCs w:val="32"/>
        </w:rPr>
      </w:pPr>
      <w:r>
        <w:rPr>
          <w:rFonts w:ascii="黑体" w:eastAsia="黑体" w:hAnsi="黑体" w:hint="eastAsia"/>
          <w:sz w:val="32"/>
          <w:szCs w:val="32"/>
        </w:rPr>
        <w:t>问：欧尔班领导的反对同性恋的右翼组织被视为该地区反共主义、种族主义和排外主义的堡垒。你如何看待青民盟推行的这些政策及其在匈牙利和欧洲其他地区的影响？你如何看待欧尔班</w:t>
      </w:r>
      <w:r>
        <w:rPr>
          <w:rFonts w:ascii="黑体" w:eastAsia="黑体" w:hAnsi="黑体"/>
          <w:sz w:val="32"/>
          <w:szCs w:val="32"/>
        </w:rPr>
        <w:t>与欧盟领导层之间持续</w:t>
      </w:r>
      <w:r>
        <w:rPr>
          <w:rFonts w:ascii="黑体" w:eastAsia="黑体" w:hAnsi="黑体" w:hint="eastAsia"/>
          <w:sz w:val="32"/>
          <w:szCs w:val="32"/>
        </w:rPr>
        <w:t>不断</w:t>
      </w:r>
      <w:r>
        <w:rPr>
          <w:rFonts w:ascii="黑体" w:eastAsia="黑体" w:hAnsi="黑体"/>
          <w:sz w:val="32"/>
          <w:szCs w:val="32"/>
        </w:rPr>
        <w:t>的</w:t>
      </w:r>
      <w:r>
        <w:rPr>
          <w:rFonts w:ascii="黑体" w:eastAsia="黑体" w:hAnsi="黑体" w:hint="eastAsia"/>
          <w:sz w:val="32"/>
          <w:szCs w:val="32"/>
        </w:rPr>
        <w:t>争斗</w:t>
      </w:r>
      <w:r>
        <w:rPr>
          <w:rFonts w:ascii="黑体" w:eastAsia="黑体" w:hAnsi="黑体"/>
          <w:sz w:val="32"/>
          <w:szCs w:val="32"/>
        </w:rPr>
        <w:t>？</w:t>
      </w:r>
    </w:p>
    <w:p w14:paraId="5BF8AA60"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答：欧尔班仍是极右翼的关键人物之一。他利用仇恨言论将人们的不满情绪转向不同的少数群体，这有助于避免穷人联合起来反对造成这场严重危机的制度。大资本将继续支持欧尔班，因为对他们来说，利润是第一位的。民主政体的外衣只是用来宣传的。</w:t>
      </w:r>
    </w:p>
    <w:p w14:paraId="6DAD103F" w14:textId="77777777" w:rsidR="00DA206C" w:rsidRDefault="00DA206C" w:rsidP="00DA206C">
      <w:pPr>
        <w:spacing w:before="60" w:after="60" w:line="480" w:lineRule="exact"/>
        <w:ind w:firstLine="640"/>
        <w:rPr>
          <w:rFonts w:ascii="黑体" w:eastAsia="黑体" w:hAnsi="黑体"/>
          <w:sz w:val="32"/>
          <w:szCs w:val="32"/>
        </w:rPr>
      </w:pPr>
      <w:r>
        <w:rPr>
          <w:rFonts w:ascii="黑体" w:eastAsia="黑体" w:hAnsi="黑体" w:hint="eastAsia"/>
          <w:sz w:val="32"/>
          <w:szCs w:val="32"/>
        </w:rPr>
        <w:t>问：你如何看待匈牙利和东欧进一步去共产主义化的强烈呼声？匈牙利人民对这场运动的总体态度是什么？</w:t>
      </w:r>
    </w:p>
    <w:p w14:paraId="235525E4"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答：如今，人们对这些运动不感兴趣。我们遭受社会危机之苦，大多数人希望找到摆脱这场危机的出路。当然，右翼政党和自由主义者不会停止他们的反共运动，但如今这对他们来说并不是一个有效的方式。</w:t>
      </w:r>
    </w:p>
    <w:p w14:paraId="149B6FFA" w14:textId="77777777" w:rsidR="00DA206C" w:rsidRDefault="00DA206C" w:rsidP="00DA206C">
      <w:pPr>
        <w:spacing w:before="60" w:after="60" w:line="480" w:lineRule="exact"/>
        <w:ind w:firstLine="640"/>
        <w:rPr>
          <w:rFonts w:ascii="黑体" w:eastAsia="黑体" w:hAnsi="黑体"/>
          <w:sz w:val="32"/>
          <w:szCs w:val="32"/>
        </w:rPr>
      </w:pPr>
      <w:r>
        <w:rPr>
          <w:rFonts w:ascii="黑体" w:eastAsia="黑体" w:hAnsi="黑体" w:hint="eastAsia"/>
          <w:sz w:val="32"/>
          <w:szCs w:val="32"/>
        </w:rPr>
        <w:t>问：匈牙利的左翼和反法西斯力量情况如何？阻碍左翼在匈牙利各州形成受欢迎的力量的主要因素是什么？</w:t>
      </w:r>
    </w:p>
    <w:p w14:paraId="2A237CA0"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lastRenderedPageBreak/>
        <w:t>答：资本主义危机正在创造新的局面。每个星期，我们都有更多的机会去组织共同的左翼行动。日益严重的通货膨胀和社会危机以及公共服务的崩溃，也为匈牙利左翼联合起来创造了条件。</w:t>
      </w:r>
    </w:p>
    <w:p w14:paraId="2E70BF72" w14:textId="77777777" w:rsidR="00DA206C" w:rsidRDefault="00DA206C" w:rsidP="00DA206C">
      <w:pPr>
        <w:spacing w:before="60" w:after="60" w:line="480" w:lineRule="exact"/>
        <w:ind w:firstLine="640"/>
        <w:rPr>
          <w:rFonts w:ascii="黑体" w:eastAsia="黑体" w:hAnsi="黑体"/>
          <w:sz w:val="32"/>
          <w:szCs w:val="32"/>
        </w:rPr>
      </w:pPr>
      <w:r>
        <w:rPr>
          <w:rFonts w:ascii="黑体" w:eastAsia="黑体" w:hAnsi="黑体" w:hint="eastAsia"/>
          <w:sz w:val="32"/>
          <w:szCs w:val="32"/>
        </w:rPr>
        <w:t>问：你能否重点介绍一下匈牙利工人党</w:t>
      </w:r>
      <w:r>
        <w:rPr>
          <w:rFonts w:ascii="黑体" w:eastAsia="黑体" w:hAnsi="黑体"/>
          <w:sz w:val="32"/>
          <w:szCs w:val="32"/>
        </w:rPr>
        <w:t>2006</w:t>
      </w:r>
      <w:r>
        <w:rPr>
          <w:rFonts w:ascii="黑体" w:eastAsia="黑体" w:hAnsi="黑体" w:hint="eastAsia"/>
          <w:sz w:val="32"/>
          <w:szCs w:val="32"/>
        </w:rPr>
        <w:t>-欧洲左翼反对现政府政策和使工人阶级受益的一些主要活动？</w:t>
      </w:r>
    </w:p>
    <w:p w14:paraId="366D5088" w14:textId="77777777" w:rsidR="00DA206C" w:rsidRDefault="00DA206C" w:rsidP="00DA206C">
      <w:pPr>
        <w:spacing w:before="60" w:after="60" w:line="480" w:lineRule="exact"/>
        <w:ind w:firstLine="640"/>
        <w:rPr>
          <w:rFonts w:ascii="宋体" w:hAnsi="宋体"/>
          <w:sz w:val="32"/>
          <w:szCs w:val="32"/>
        </w:rPr>
      </w:pPr>
      <w:r>
        <w:rPr>
          <w:rFonts w:ascii="宋体" w:hAnsi="宋体" w:hint="eastAsia"/>
          <w:sz w:val="32"/>
          <w:szCs w:val="32"/>
        </w:rPr>
        <w:t>答：我们党去年夏天组织了一次左翼节（</w:t>
      </w:r>
      <w:r>
        <w:rPr>
          <w:rFonts w:ascii="宋体" w:hAnsi="宋体"/>
          <w:sz w:val="32"/>
          <w:szCs w:val="32"/>
        </w:rPr>
        <w:t>Leftist Festival</w:t>
      </w:r>
      <w:r>
        <w:rPr>
          <w:rFonts w:ascii="宋体" w:hAnsi="宋体" w:hint="eastAsia"/>
          <w:sz w:val="32"/>
          <w:szCs w:val="32"/>
        </w:rPr>
        <w:t>），我们的论坛办得非常成功。节日期间，我们聚集了许多不同的左翼团体，我们可以形成一个共同的平台，继续提出一个可行的左翼替代方案。我们可以共同争取社会权利，比如住房、能源和食品方面的权利。</w:t>
      </w:r>
    </w:p>
    <w:p w14:paraId="1AB73C43" w14:textId="77777777" w:rsidR="00DA206C" w:rsidRDefault="00DA206C" w:rsidP="00DA206C">
      <w:pPr>
        <w:spacing w:before="60" w:after="60" w:line="480" w:lineRule="exact"/>
        <w:ind w:firstLine="640"/>
        <w:rPr>
          <w:rFonts w:ascii="黑体" w:eastAsia="黑体" w:hAnsi="黑体"/>
          <w:sz w:val="32"/>
          <w:szCs w:val="32"/>
        </w:rPr>
      </w:pPr>
      <w:r>
        <w:rPr>
          <w:rFonts w:ascii="黑体" w:eastAsia="黑体" w:hAnsi="黑体" w:hint="eastAsia"/>
          <w:sz w:val="32"/>
          <w:szCs w:val="32"/>
        </w:rPr>
        <w:t>问：你如何看待匈牙利各地初具规模的关于学生-青年权利、经济适用住房、气候正义和其他此类问题的新基层运动（</w:t>
      </w:r>
      <w:r>
        <w:rPr>
          <w:rFonts w:ascii="黑体" w:eastAsia="黑体" w:hAnsi="黑体"/>
          <w:sz w:val="32"/>
          <w:szCs w:val="32"/>
        </w:rPr>
        <w:t>new grassroots movement</w:t>
      </w:r>
      <w:r>
        <w:rPr>
          <w:rFonts w:ascii="黑体" w:eastAsia="黑体" w:hAnsi="黑体" w:hint="eastAsia"/>
          <w:sz w:val="32"/>
          <w:szCs w:val="32"/>
        </w:rPr>
        <w:t>）？</w:t>
      </w:r>
    </w:p>
    <w:p w14:paraId="6185A601" w14:textId="1462F009" w:rsidR="00C07B1B" w:rsidRPr="00B47846" w:rsidRDefault="00DA206C" w:rsidP="00DA206C">
      <w:pPr>
        <w:spacing w:before="60" w:after="60" w:line="480" w:lineRule="exact"/>
        <w:ind w:firstLine="640"/>
        <w:rPr>
          <w:rFonts w:ascii="宋体" w:hAnsi="宋体" w:hint="eastAsia"/>
          <w:sz w:val="32"/>
          <w:szCs w:val="32"/>
        </w:rPr>
      </w:pPr>
      <w:r>
        <w:rPr>
          <w:rFonts w:ascii="宋体" w:hAnsi="宋体" w:hint="eastAsia"/>
          <w:sz w:val="32"/>
          <w:szCs w:val="32"/>
        </w:rPr>
        <w:t>答：教育制度是社会的重要组成部分。</w:t>
      </w:r>
      <w:r>
        <w:rPr>
          <w:rFonts w:ascii="宋体" w:hAnsi="宋体"/>
          <w:sz w:val="32"/>
          <w:szCs w:val="32"/>
        </w:rPr>
        <w:t>20世纪90年代以来，我们看到了</w:t>
      </w:r>
      <w:r>
        <w:rPr>
          <w:rFonts w:ascii="宋体" w:hAnsi="宋体" w:hint="eastAsia"/>
          <w:sz w:val="32"/>
          <w:szCs w:val="32"/>
        </w:rPr>
        <w:t>教育制度</w:t>
      </w:r>
      <w:r>
        <w:rPr>
          <w:rFonts w:ascii="宋体" w:hAnsi="宋体"/>
          <w:sz w:val="32"/>
          <w:szCs w:val="32"/>
        </w:rPr>
        <w:t>的变化和教育</w:t>
      </w:r>
      <w:r>
        <w:rPr>
          <w:rFonts w:ascii="宋体" w:hAnsi="宋体" w:hint="eastAsia"/>
          <w:sz w:val="32"/>
          <w:szCs w:val="32"/>
        </w:rPr>
        <w:t>被</w:t>
      </w:r>
      <w:r>
        <w:rPr>
          <w:rFonts w:ascii="宋体" w:hAnsi="宋体"/>
          <w:sz w:val="32"/>
          <w:szCs w:val="32"/>
        </w:rPr>
        <w:t>破坏</w:t>
      </w:r>
      <w:r>
        <w:rPr>
          <w:rFonts w:ascii="宋体" w:hAnsi="宋体" w:hint="eastAsia"/>
          <w:sz w:val="32"/>
          <w:szCs w:val="32"/>
        </w:rPr>
        <w:t>的</w:t>
      </w:r>
      <w:r>
        <w:rPr>
          <w:rFonts w:ascii="宋体" w:hAnsi="宋体"/>
          <w:sz w:val="32"/>
          <w:szCs w:val="32"/>
        </w:rPr>
        <w:t>过程。教师的低工资是这</w:t>
      </w:r>
      <w:r>
        <w:rPr>
          <w:rFonts w:ascii="宋体" w:hAnsi="宋体" w:hint="eastAsia"/>
          <w:sz w:val="32"/>
          <w:szCs w:val="32"/>
        </w:rPr>
        <w:t>一</w:t>
      </w:r>
      <w:r>
        <w:rPr>
          <w:rFonts w:ascii="宋体" w:hAnsi="宋体"/>
          <w:sz w:val="32"/>
          <w:szCs w:val="32"/>
        </w:rPr>
        <w:t>糟糕过程的</w:t>
      </w:r>
      <w:r>
        <w:rPr>
          <w:rFonts w:ascii="宋体" w:hAnsi="宋体" w:hint="eastAsia"/>
          <w:sz w:val="32"/>
          <w:szCs w:val="32"/>
        </w:rPr>
        <w:t>标志</w:t>
      </w:r>
      <w:r>
        <w:rPr>
          <w:rFonts w:ascii="宋体" w:hAnsi="宋体"/>
          <w:sz w:val="32"/>
          <w:szCs w:val="32"/>
        </w:rPr>
        <w:t>，</w:t>
      </w:r>
      <w:r>
        <w:rPr>
          <w:rFonts w:ascii="宋体" w:hAnsi="宋体" w:hint="eastAsia"/>
          <w:sz w:val="32"/>
          <w:szCs w:val="32"/>
        </w:rPr>
        <w:t>而</w:t>
      </w:r>
      <w:r>
        <w:rPr>
          <w:rFonts w:ascii="宋体" w:hAnsi="宋体"/>
          <w:sz w:val="32"/>
          <w:szCs w:val="32"/>
        </w:rPr>
        <w:t>现在这个问题已经成</w:t>
      </w:r>
      <w:r>
        <w:rPr>
          <w:rFonts w:ascii="宋体" w:hAnsi="宋体" w:hint="eastAsia"/>
          <w:sz w:val="32"/>
          <w:szCs w:val="32"/>
        </w:rPr>
        <w:t>了</w:t>
      </w:r>
      <w:r>
        <w:rPr>
          <w:rFonts w:ascii="宋体" w:hAnsi="宋体"/>
          <w:sz w:val="32"/>
          <w:szCs w:val="32"/>
        </w:rPr>
        <w:t>一个核心问题。我们看到一个非常积极的现象</w:t>
      </w:r>
      <w:r>
        <w:rPr>
          <w:rFonts w:ascii="宋体" w:hAnsi="宋体" w:hint="eastAsia"/>
          <w:sz w:val="32"/>
          <w:szCs w:val="32"/>
        </w:rPr>
        <w:t>——</w:t>
      </w:r>
      <w:r>
        <w:rPr>
          <w:rFonts w:ascii="宋体" w:hAnsi="宋体"/>
          <w:sz w:val="32"/>
          <w:szCs w:val="32"/>
        </w:rPr>
        <w:t>学生</w:t>
      </w:r>
      <w:r>
        <w:rPr>
          <w:rFonts w:ascii="宋体" w:hAnsi="宋体" w:hint="eastAsia"/>
          <w:sz w:val="32"/>
          <w:szCs w:val="32"/>
        </w:rPr>
        <w:t>为他们的老师争取</w:t>
      </w:r>
      <w:r>
        <w:rPr>
          <w:rFonts w:ascii="宋体" w:hAnsi="宋体"/>
          <w:sz w:val="32"/>
          <w:szCs w:val="32"/>
        </w:rPr>
        <w:t>权利的运动有所加强。我们看到，大多数学生</w:t>
      </w:r>
      <w:r>
        <w:rPr>
          <w:rFonts w:ascii="宋体" w:hAnsi="宋体" w:hint="eastAsia"/>
          <w:sz w:val="32"/>
          <w:szCs w:val="32"/>
        </w:rPr>
        <w:t>明白</w:t>
      </w:r>
      <w:r>
        <w:rPr>
          <w:rFonts w:ascii="宋体" w:hAnsi="宋体"/>
          <w:sz w:val="32"/>
          <w:szCs w:val="32"/>
        </w:rPr>
        <w:t>，他们的未来取决于教育</w:t>
      </w:r>
      <w:r>
        <w:rPr>
          <w:rFonts w:ascii="宋体" w:hAnsi="宋体" w:hint="eastAsia"/>
          <w:sz w:val="32"/>
          <w:szCs w:val="32"/>
        </w:rPr>
        <w:t>；</w:t>
      </w:r>
      <w:r>
        <w:rPr>
          <w:rFonts w:ascii="宋体" w:hAnsi="宋体"/>
          <w:sz w:val="32"/>
          <w:szCs w:val="32"/>
        </w:rPr>
        <w:t>如果不提高</w:t>
      </w:r>
      <w:r>
        <w:rPr>
          <w:rFonts w:ascii="宋体" w:hAnsi="宋体" w:hint="eastAsia"/>
          <w:sz w:val="32"/>
          <w:szCs w:val="32"/>
        </w:rPr>
        <w:t>自身的</w:t>
      </w:r>
      <w:r>
        <w:rPr>
          <w:rFonts w:ascii="宋体" w:hAnsi="宋体"/>
          <w:sz w:val="32"/>
          <w:szCs w:val="32"/>
        </w:rPr>
        <w:t>知识水平，就无法解决社会危机</w:t>
      </w:r>
      <w:r>
        <w:rPr>
          <w:rFonts w:ascii="宋体" w:hAnsi="宋体" w:hint="eastAsia"/>
          <w:sz w:val="32"/>
          <w:szCs w:val="32"/>
        </w:rPr>
        <w:t>和</w:t>
      </w:r>
      <w:r>
        <w:rPr>
          <w:rFonts w:ascii="宋体" w:hAnsi="宋体"/>
          <w:sz w:val="32"/>
          <w:szCs w:val="32"/>
        </w:rPr>
        <w:t>避免气候灾难。我相信，这一新的学生运动可以成为我们社会未来左翼政策的基础。</w:t>
      </w:r>
      <w:bookmarkEnd w:id="2"/>
      <w:bookmarkEnd w:id="3"/>
      <w:bookmarkEnd w:id="4"/>
      <w:bookmarkEnd w:id="5"/>
      <w:bookmarkEnd w:id="6"/>
    </w:p>
    <w:sectPr w:rsidR="00C07B1B" w:rsidRPr="00B47846" w:rsidSect="001A055E">
      <w:footerReference w:type="default" r:id="rId24"/>
      <w:footnotePr>
        <w:numRestart w:val="eachSect"/>
      </w:footnotePr>
      <w:type w:val="continuous"/>
      <w:pgSz w:w="10318" w:h="14570"/>
      <w:pgMar w:top="1440" w:right="1077" w:bottom="1440"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FF800" w14:textId="77777777" w:rsidR="001A055E" w:rsidRDefault="001A055E">
      <w:pPr>
        <w:spacing w:line="240" w:lineRule="auto"/>
        <w:ind w:firstLine="560"/>
      </w:pPr>
      <w:r>
        <w:separator/>
      </w:r>
    </w:p>
  </w:endnote>
  <w:endnote w:type="continuationSeparator" w:id="0">
    <w:p w14:paraId="1DB08F8A" w14:textId="77777777" w:rsidR="001A055E" w:rsidRDefault="001A055E">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MinionPro-Regular">
    <w:altName w:val="Cambria"/>
    <w:charset w:val="00"/>
    <w:family w:val="roman"/>
    <w:pitch w:val="default"/>
  </w:font>
  <w:font w:name="Cambria">
    <w:altName w:val="Cambria"/>
    <w:panose1 w:val="02040503050406030204"/>
    <w:charset w:val="00"/>
    <w:family w:val="roman"/>
    <w:pitch w:val="variable"/>
    <w:sig w:usb0="E00006FF" w:usb1="420024FF" w:usb2="02000000" w:usb3="00000000" w:csb0="0000019F" w:csb1="00000000"/>
  </w:font>
  <w:font w:name="MS Reference Sans Serif">
    <w:altName w:val="MS Reference Sans Serif"/>
    <w:panose1 w:val="020B0604030504040204"/>
    <w:charset w:val="00"/>
    <w:family w:val="swiss"/>
    <w:pitch w:val="variable"/>
    <w:sig w:usb0="20000287" w:usb1="00000000" w:usb2="00000000" w:usb3="00000000" w:csb0="0000019F" w:csb1="00000000"/>
  </w:font>
  <w:font w:name="Microsoft YaHei UI">
    <w:altName w:val="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924A" w14:textId="77777777" w:rsidR="00C7144A" w:rsidRDefault="00C7144A">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CDF4" w14:textId="77777777" w:rsidR="00C7144A" w:rsidRDefault="00C7144A">
    <w:pPr>
      <w:pStyle w:val="a7"/>
      <w:ind w:firstLineChars="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BA7C" w14:textId="77777777" w:rsidR="00000000" w:rsidRDefault="00000000">
    <w:pPr>
      <w:pStyle w:val="a7"/>
      <w:spacing w:line="240" w:lineRule="auto"/>
      <w:ind w:firstLineChars="0" w:firstLine="0"/>
      <w:jc w:val="center"/>
    </w:pPr>
    <w:r>
      <w:fldChar w:fldCharType="begin"/>
    </w:r>
    <w:r>
      <w:instrText>PAGE   \* MERGEFORMAT</w:instrText>
    </w:r>
    <w:r>
      <w:fldChar w:fldCharType="separate"/>
    </w:r>
    <w:r>
      <w:rPr>
        <w:lang w:val="zh-CN"/>
      </w:rP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25746" w14:textId="77777777" w:rsidR="001A055E" w:rsidRDefault="001A055E">
      <w:pPr>
        <w:spacing w:line="240" w:lineRule="auto"/>
        <w:ind w:firstLine="560"/>
      </w:pPr>
      <w:r>
        <w:separator/>
      </w:r>
    </w:p>
  </w:footnote>
  <w:footnote w:type="continuationSeparator" w:id="0">
    <w:p w14:paraId="022215CA" w14:textId="77777777" w:rsidR="001A055E" w:rsidRDefault="001A055E">
      <w:pPr>
        <w:spacing w:line="240" w:lineRule="auto"/>
        <w:ind w:firstLine="560"/>
      </w:pPr>
      <w:r>
        <w:continuationSeparator/>
      </w:r>
    </w:p>
  </w:footnote>
  <w:footnote w:id="1">
    <w:p w14:paraId="15DB17EC" w14:textId="77777777" w:rsidR="00DA206C" w:rsidRDefault="00DA206C" w:rsidP="00DA206C">
      <w:pPr>
        <w:pStyle w:val="ab"/>
        <w:ind w:firstLine="420"/>
      </w:pPr>
      <w:r>
        <w:rPr>
          <w:rStyle w:val="af0"/>
        </w:rPr>
        <w:t>[1]</w:t>
      </w:r>
      <w:r>
        <w:rPr>
          <w:rFonts w:hint="eastAsia"/>
        </w:rPr>
        <w:t xml:space="preserve"> </w:t>
      </w:r>
      <w:r>
        <w:rPr>
          <w:rFonts w:hint="eastAsia"/>
        </w:rPr>
        <w:t>列宁，《游击战争》（</w:t>
      </w:r>
      <w:r>
        <w:rPr>
          <w:rFonts w:hint="eastAsia"/>
        </w:rPr>
        <w:t>1906</w:t>
      </w:r>
      <w:r>
        <w:rPr>
          <w:rFonts w:hint="eastAsia"/>
        </w:rPr>
        <w:t>年）</w:t>
      </w:r>
    </w:p>
    <w:p w14:paraId="11317581" w14:textId="77777777" w:rsidR="00DA206C" w:rsidRDefault="00DA206C" w:rsidP="00DA206C">
      <w:pPr>
        <w:pStyle w:val="ab"/>
        <w:ind w:firstLine="420"/>
      </w:pPr>
      <w:hyperlink r:id="rId1" w:history="1">
        <w:r>
          <w:rPr>
            <w:rStyle w:val="af"/>
          </w:rPr>
          <w:t>https://www.marxists.org/chinese/lenin-cworks/14/001.htm</w:t>
        </w:r>
      </w:hyperlink>
      <w:r>
        <w:rPr>
          <w:rFonts w:hint="eastAsia"/>
        </w:rPr>
        <w:t xml:space="preserve"> </w:t>
      </w:r>
      <w:r>
        <w:rPr>
          <w:rFonts w:hint="eastAsia"/>
        </w:rPr>
        <w:t>——译注</w:t>
      </w:r>
    </w:p>
  </w:footnote>
  <w:footnote w:id="2">
    <w:p w14:paraId="31759541" w14:textId="77777777" w:rsidR="00DA206C" w:rsidRDefault="00DA206C" w:rsidP="00DA206C">
      <w:pPr>
        <w:pStyle w:val="ab"/>
        <w:ind w:firstLine="420"/>
        <w:jc w:val="left"/>
      </w:pPr>
      <w:r>
        <w:rPr>
          <w:rStyle w:val="af0"/>
        </w:rPr>
        <w:t>[2]</w:t>
      </w:r>
      <w:r>
        <w:rPr>
          <w:rFonts w:hint="eastAsia"/>
        </w:rPr>
        <w:t xml:space="preserve"> </w:t>
      </w:r>
      <w:r>
        <w:rPr>
          <w:rFonts w:hint="eastAsia"/>
        </w:rPr>
        <w:t>林彪，《人民战争胜利万岁——纪念中国人民抗日战争胜利二十周年》（</w:t>
      </w:r>
      <w:r>
        <w:rPr>
          <w:rFonts w:hint="eastAsia"/>
        </w:rPr>
        <w:t>1965</w:t>
      </w:r>
      <w:r>
        <w:rPr>
          <w:rFonts w:hint="eastAsia"/>
        </w:rPr>
        <w:t>年</w:t>
      </w:r>
      <w:r>
        <w:rPr>
          <w:rFonts w:hint="eastAsia"/>
        </w:rPr>
        <w:t>8</w:t>
      </w:r>
      <w:r>
        <w:rPr>
          <w:rFonts w:hint="eastAsia"/>
        </w:rPr>
        <w:t>月）</w:t>
      </w:r>
      <w:hyperlink r:id="rId2" w:history="1">
        <w:r>
          <w:rPr>
            <w:rStyle w:val="af"/>
          </w:rPr>
          <w:t>https://www.marxists.org/chinese/linbiao/marxist.org-chinese-linbiao-196508.htm</w:t>
        </w:r>
      </w:hyperlink>
      <w:r>
        <w:rPr>
          <w:rFonts w:hint="eastAsia"/>
        </w:rPr>
        <w:t xml:space="preserve"> </w:t>
      </w:r>
      <w:r>
        <w:rPr>
          <w:rFonts w:hint="eastAsia"/>
        </w:rPr>
        <w:t>——译注</w:t>
      </w:r>
    </w:p>
  </w:footnote>
  <w:footnote w:id="3">
    <w:p w14:paraId="06EBABB8" w14:textId="77777777" w:rsidR="00DA206C" w:rsidRDefault="00DA206C" w:rsidP="00DA206C">
      <w:pPr>
        <w:pStyle w:val="ab"/>
        <w:ind w:firstLine="420"/>
      </w:pPr>
      <w:r>
        <w:rPr>
          <w:rStyle w:val="af0"/>
        </w:rPr>
        <w:t>[3]</w:t>
      </w:r>
      <w:r>
        <w:rPr>
          <w:rFonts w:hint="eastAsia"/>
        </w:rPr>
        <w:t xml:space="preserve"> </w:t>
      </w:r>
      <w:r>
        <w:rPr>
          <w:rFonts w:hint="eastAsia"/>
        </w:rPr>
        <w:t>《周恩来在中国共产党第十次全国代表大会上的报告》（</w:t>
      </w:r>
      <w:r>
        <w:rPr>
          <w:rFonts w:hint="eastAsia"/>
        </w:rPr>
        <w:t>1973</w:t>
      </w:r>
      <w:r>
        <w:rPr>
          <w:rFonts w:hint="eastAsia"/>
        </w:rPr>
        <w:t>年</w:t>
      </w:r>
      <w:r>
        <w:rPr>
          <w:rFonts w:hint="eastAsia"/>
        </w:rPr>
        <w:t>8</w:t>
      </w:r>
      <w:r>
        <w:rPr>
          <w:rFonts w:hint="eastAsia"/>
        </w:rPr>
        <w:t>月</w:t>
      </w:r>
      <w:r>
        <w:rPr>
          <w:rFonts w:hint="eastAsia"/>
        </w:rPr>
        <w:t>24</w:t>
      </w:r>
      <w:r>
        <w:rPr>
          <w:rFonts w:hint="eastAsia"/>
        </w:rPr>
        <w:t>日报告，</w:t>
      </w:r>
      <w:r>
        <w:rPr>
          <w:rFonts w:hint="eastAsia"/>
        </w:rPr>
        <w:t>8</w:t>
      </w:r>
      <w:r>
        <w:rPr>
          <w:rFonts w:hint="eastAsia"/>
        </w:rPr>
        <w:t>月</w:t>
      </w:r>
      <w:r>
        <w:rPr>
          <w:rFonts w:hint="eastAsia"/>
        </w:rPr>
        <w:t>28</w:t>
      </w:r>
      <w:r>
        <w:rPr>
          <w:rFonts w:hint="eastAsia"/>
        </w:rPr>
        <w:t>日通过）</w:t>
      </w:r>
      <w:hyperlink r:id="rId3" w:history="1">
        <w:r>
          <w:rPr>
            <w:rStyle w:val="af"/>
          </w:rPr>
          <w:t>http://cpc.people.com.cn/GB/64162/64168/64562/65450/4429430.html</w:t>
        </w:r>
      </w:hyperlink>
      <w:r>
        <w:rPr>
          <w:rFonts w:hint="eastAsia"/>
        </w:rPr>
        <w:t xml:space="preserve"> </w:t>
      </w:r>
      <w:r>
        <w:rPr>
          <w:rFonts w:hint="eastAsia"/>
        </w:rPr>
        <w:t>——译注</w:t>
      </w:r>
    </w:p>
  </w:footnote>
  <w:footnote w:id="4">
    <w:p w14:paraId="1A2761CD" w14:textId="77777777" w:rsidR="00DA206C" w:rsidRDefault="00DA206C" w:rsidP="00DA206C">
      <w:pPr>
        <w:pStyle w:val="ab"/>
        <w:ind w:firstLine="420"/>
      </w:pPr>
      <w:r>
        <w:rPr>
          <w:rStyle w:val="af0"/>
        </w:rPr>
        <w:t>[1]</w:t>
      </w:r>
      <w:r>
        <w:t xml:space="preserve"> </w:t>
      </w:r>
      <w:r>
        <w:rPr>
          <w:rFonts w:hint="eastAsia"/>
        </w:rPr>
        <w:t>指在议会制国家中，没有一个政党在议会内取得绝对多数的情况。——译注</w:t>
      </w:r>
    </w:p>
  </w:footnote>
  <w:footnote w:id="5">
    <w:p w14:paraId="503787A9" w14:textId="1902EB11" w:rsidR="00DA206C" w:rsidRPr="00DA206C" w:rsidRDefault="00DA206C">
      <w:pPr>
        <w:pStyle w:val="ab"/>
        <w:ind w:firstLine="420"/>
        <w:rPr>
          <w:rFonts w:hint="eastAsia"/>
        </w:rPr>
      </w:pPr>
      <w:r>
        <w:rPr>
          <w:rStyle w:val="af0"/>
        </w:rPr>
        <w:t>[2]</w:t>
      </w:r>
      <w:r>
        <w:t xml:space="preserve"> </w:t>
      </w:r>
      <w:r w:rsidRPr="00DA206C">
        <w:rPr>
          <w:rFonts w:hint="eastAsia"/>
        </w:rPr>
        <w:t>2006</w:t>
      </w:r>
      <w:r w:rsidRPr="00DA206C">
        <w:rPr>
          <w:rFonts w:hint="eastAsia"/>
        </w:rPr>
        <w:t>年，</w:t>
      </w:r>
      <w:r w:rsidR="001474EA">
        <w:rPr>
          <w:rFonts w:hint="eastAsia"/>
        </w:rPr>
        <w:t>尼泊尔</w:t>
      </w:r>
      <w:r w:rsidRPr="00DA206C">
        <w:rPr>
          <w:rFonts w:hint="eastAsia"/>
        </w:rPr>
        <w:t>主要政党组成的“七党联盟”与尼共（毛）联合发起反国王街头运动。国王妥协，宣布恢复议会。随后，议会通过宣言，剥夺国王权力。</w:t>
      </w:r>
      <w:r w:rsidRPr="00DA206C">
        <w:rPr>
          <w:rFonts w:hint="eastAsia"/>
        </w:rPr>
        <w:t>2006</w:t>
      </w:r>
      <w:r w:rsidRPr="00DA206C">
        <w:rPr>
          <w:rFonts w:hint="eastAsia"/>
        </w:rPr>
        <w:t>年</w:t>
      </w:r>
      <w:r w:rsidRPr="00DA206C">
        <w:rPr>
          <w:rFonts w:hint="eastAsia"/>
        </w:rPr>
        <w:t>11</w:t>
      </w:r>
      <w:r w:rsidRPr="00DA206C">
        <w:rPr>
          <w:rFonts w:hint="eastAsia"/>
        </w:rPr>
        <w:t>月，政党政府与尼共（毛）签署《全面和平协议》，宣布结束</w:t>
      </w:r>
      <w:r w:rsidRPr="00DA206C">
        <w:rPr>
          <w:rFonts w:hint="eastAsia"/>
        </w:rPr>
        <w:t>11</w:t>
      </w:r>
      <w:r w:rsidRPr="00DA206C">
        <w:rPr>
          <w:rFonts w:hint="eastAsia"/>
        </w:rPr>
        <w:t>年的武装冲突。——译注</w:t>
      </w:r>
    </w:p>
  </w:footnote>
  <w:footnote w:id="6">
    <w:p w14:paraId="789717D2" w14:textId="0D606B08" w:rsidR="00DA206C" w:rsidRPr="00DA206C" w:rsidRDefault="00DA206C">
      <w:pPr>
        <w:pStyle w:val="ab"/>
        <w:ind w:firstLine="420"/>
        <w:rPr>
          <w:rFonts w:hint="eastAsia"/>
        </w:rPr>
      </w:pPr>
      <w:r>
        <w:rPr>
          <w:rStyle w:val="af0"/>
        </w:rPr>
        <w:t>[3]</w:t>
      </w:r>
      <w:r>
        <w:t xml:space="preserve"> </w:t>
      </w:r>
      <w:r>
        <w:rPr>
          <w:rFonts w:hint="eastAsia"/>
        </w:rPr>
        <w:t>婆罗门为最高种姓，切特里是第二种姓即刹帝利的一部分。——译注</w:t>
      </w:r>
    </w:p>
  </w:footnote>
  <w:footnote w:id="7">
    <w:p w14:paraId="2EC3F1D2" w14:textId="797376C9" w:rsidR="00DA206C" w:rsidRPr="00DA206C" w:rsidRDefault="00DA206C">
      <w:pPr>
        <w:pStyle w:val="ab"/>
        <w:ind w:firstLine="420"/>
        <w:rPr>
          <w:rFonts w:hint="eastAsia"/>
        </w:rPr>
      </w:pPr>
      <w:r>
        <w:rPr>
          <w:rStyle w:val="af0"/>
        </w:rPr>
        <w:t>[4]</w:t>
      </w:r>
      <w:r>
        <w:t xml:space="preserve"> </w:t>
      </w:r>
      <w:r>
        <w:rPr>
          <w:rFonts w:hint="eastAsia"/>
        </w:rPr>
        <w:t>指在单一选区中，所有候选人中最多票者当选，不论票数多寡。——译注</w:t>
      </w:r>
    </w:p>
  </w:footnote>
  <w:footnote w:id="8">
    <w:p w14:paraId="251A8769" w14:textId="147CD049" w:rsidR="00DA206C" w:rsidRPr="00DA206C" w:rsidRDefault="00DA206C">
      <w:pPr>
        <w:pStyle w:val="ab"/>
        <w:ind w:firstLine="420"/>
        <w:rPr>
          <w:rFonts w:hint="eastAsia"/>
        </w:rPr>
      </w:pPr>
      <w:r>
        <w:rPr>
          <w:rStyle w:val="af0"/>
        </w:rPr>
        <w:t>[5]</w:t>
      </w:r>
      <w:r>
        <w:t xml:space="preserve"> </w:t>
      </w:r>
      <w:r>
        <w:rPr>
          <w:rFonts w:hint="eastAsia"/>
        </w:rPr>
        <w:t>以每一参选党派所得选票占全部选票的百分比分配议席，相对较能反映社会多元意见。——译注</w:t>
      </w:r>
    </w:p>
  </w:footnote>
  <w:footnote w:id="9">
    <w:p w14:paraId="749807DD" w14:textId="2FB77388" w:rsidR="00DA206C" w:rsidRPr="00DA206C" w:rsidRDefault="00DA206C">
      <w:pPr>
        <w:pStyle w:val="ab"/>
        <w:ind w:firstLine="420"/>
        <w:rPr>
          <w:rFonts w:hint="eastAsia"/>
        </w:rPr>
      </w:pPr>
      <w:r>
        <w:rPr>
          <w:rStyle w:val="af0"/>
        </w:rPr>
        <w:t>[6]</w:t>
      </w:r>
      <w:r>
        <w:t xml:space="preserve"> </w:t>
      </w:r>
      <w:r>
        <w:rPr>
          <w:rFonts w:hint="eastAsia"/>
        </w:rPr>
        <w:t>马德西人认为</w:t>
      </w:r>
      <w:r>
        <w:rPr>
          <w:rFonts w:hint="eastAsia"/>
        </w:rPr>
        <w:t>2007</w:t>
      </w:r>
      <w:r>
        <w:rPr>
          <w:rFonts w:hint="eastAsia"/>
        </w:rPr>
        <w:t>年初公布的临时宪法没有体现出包容性，从而举行了一系列大规模的群众抗议运动。马德西人是生活在尼泊尔马德西地区的印度移民群体。——译注</w:t>
      </w:r>
    </w:p>
  </w:footnote>
  <w:footnote w:id="10">
    <w:p w14:paraId="2561E667" w14:textId="77777777" w:rsidR="00DA206C" w:rsidRDefault="00DA206C" w:rsidP="00DA206C">
      <w:pPr>
        <w:pStyle w:val="ab"/>
        <w:ind w:firstLine="420"/>
      </w:pPr>
      <w:r>
        <w:rPr>
          <w:rStyle w:val="af0"/>
        </w:rPr>
        <w:t>[1]</w:t>
      </w:r>
      <w:r>
        <w:rPr>
          <w:rFonts w:hint="eastAsia"/>
        </w:rPr>
        <w:t xml:space="preserve"> </w:t>
      </w:r>
      <w:r>
        <w:rPr>
          <w:rFonts w:hint="eastAsia"/>
        </w:rPr>
        <w:t>该党</w:t>
      </w:r>
      <w:r>
        <w:rPr>
          <w:rFonts w:hint="eastAsia"/>
        </w:rPr>
        <w:t>2005</w:t>
      </w:r>
      <w:r>
        <w:rPr>
          <w:rFonts w:hint="eastAsia"/>
        </w:rPr>
        <w:t>年</w:t>
      </w:r>
      <w:r>
        <w:rPr>
          <w:rFonts w:hint="eastAsia"/>
        </w:rPr>
        <w:t>11</w:t>
      </w:r>
      <w:r>
        <w:rPr>
          <w:rFonts w:hint="eastAsia"/>
        </w:rPr>
        <w:t>月分裂自匈牙利工人党（</w:t>
      </w:r>
      <w:r>
        <w:rPr>
          <w:rFonts w:hint="eastAsia"/>
        </w:rPr>
        <w:t>Hungarian Workers' Party</w:t>
      </w:r>
      <w:r>
        <w:rPr>
          <w:rFonts w:hint="eastAsia"/>
        </w:rPr>
        <w:t>），</w:t>
      </w:r>
      <w:r>
        <w:rPr>
          <w:rFonts w:hint="eastAsia"/>
        </w:rPr>
        <w:t>2009</w:t>
      </w:r>
      <w:r>
        <w:rPr>
          <w:rFonts w:hint="eastAsia"/>
        </w:rPr>
        <w:t>年成为欧洲左翼党（</w:t>
      </w:r>
      <w:r>
        <w:rPr>
          <w:rFonts w:hint="eastAsia"/>
        </w:rPr>
        <w:t>Party of the European Left</w:t>
      </w:r>
      <w:r>
        <w:rPr>
          <w:rFonts w:hint="eastAsia"/>
        </w:rPr>
        <w:t>）的成员。——译注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A87A" w14:textId="77777777" w:rsidR="00C7144A" w:rsidRDefault="00C7144A">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9CD" w14:textId="77777777" w:rsidR="00C7144A" w:rsidRDefault="00C7144A">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6AA0" w14:textId="77777777" w:rsidR="00C7144A" w:rsidRDefault="00C7144A">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2605DF8"/>
    <w:lvl w:ilvl="0" w:tplc="561252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0000002"/>
    <w:multiLevelType w:val="multilevel"/>
    <w:tmpl w:val="F6BAC2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hybridMultilevel"/>
    <w:tmpl w:val="A52AD006"/>
    <w:lvl w:ilvl="0" w:tplc="C8A27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0000004"/>
    <w:multiLevelType w:val="multilevel"/>
    <w:tmpl w:val="C30AF7D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singleLevel"/>
    <w:tmpl w:val="FF783D23"/>
    <w:lvl w:ilvl="0">
      <w:start w:val="1"/>
      <w:numFmt w:val="decimal"/>
      <w:lvlText w:val="[%1]"/>
      <w:lvlJc w:val="left"/>
      <w:pPr>
        <w:tabs>
          <w:tab w:val="left" w:pos="312"/>
        </w:tabs>
      </w:pPr>
    </w:lvl>
  </w:abstractNum>
  <w:abstractNum w:abstractNumId="5" w15:restartNumberingAfterBreak="0">
    <w:nsid w:val="00000006"/>
    <w:multiLevelType w:val="multilevel"/>
    <w:tmpl w:val="9A1CB2A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7"/>
    <w:multiLevelType w:val="multilevel"/>
    <w:tmpl w:val="17E43A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8"/>
    <w:multiLevelType w:val="hybridMultilevel"/>
    <w:tmpl w:val="FC64316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8" w15:restartNumberingAfterBreak="0">
    <w:nsid w:val="00000009"/>
    <w:multiLevelType w:val="multilevel"/>
    <w:tmpl w:val="D2861AD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9" w15:restartNumberingAfterBreak="0">
    <w:nsid w:val="0000000A"/>
    <w:multiLevelType w:val="multilevel"/>
    <w:tmpl w:val="393E568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0B"/>
    <w:multiLevelType w:val="multilevel"/>
    <w:tmpl w:val="20D4236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000000C"/>
    <w:multiLevelType w:val="multilevel"/>
    <w:tmpl w:val="799E390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0000000D"/>
    <w:multiLevelType w:val="hybridMultilevel"/>
    <w:tmpl w:val="6E54EB70"/>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3" w15:restartNumberingAfterBreak="0">
    <w:nsid w:val="0000000E"/>
    <w:multiLevelType w:val="hybridMultilevel"/>
    <w:tmpl w:val="B49A0CF8"/>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4" w15:restartNumberingAfterBreak="0">
    <w:nsid w:val="0000000F"/>
    <w:multiLevelType w:val="multilevel"/>
    <w:tmpl w:val="AE5217F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 w15:restartNumberingAfterBreak="0">
    <w:nsid w:val="71187355"/>
    <w:multiLevelType w:val="singleLevel"/>
    <w:tmpl w:val="C19B9890"/>
    <w:lvl w:ilvl="0">
      <w:start w:val="2"/>
      <w:numFmt w:val="decimal"/>
      <w:lvlText w:val="[%1]"/>
      <w:lvlJc w:val="left"/>
      <w:pPr>
        <w:tabs>
          <w:tab w:val="left" w:pos="312"/>
        </w:tabs>
      </w:pPr>
    </w:lvl>
  </w:abstractNum>
  <w:num w:numId="1" w16cid:durableId="139199351">
    <w:abstractNumId w:val="10"/>
  </w:num>
  <w:num w:numId="2" w16cid:durableId="865682589">
    <w:abstractNumId w:val="6"/>
  </w:num>
  <w:num w:numId="3" w16cid:durableId="1138574416">
    <w:abstractNumId w:val="3"/>
  </w:num>
  <w:num w:numId="4" w16cid:durableId="405038202">
    <w:abstractNumId w:val="4"/>
  </w:num>
  <w:num w:numId="5" w16cid:durableId="1284728603">
    <w:abstractNumId w:val="2"/>
  </w:num>
  <w:num w:numId="6" w16cid:durableId="1555970911">
    <w:abstractNumId w:val="5"/>
  </w:num>
  <w:num w:numId="7" w16cid:durableId="18236887">
    <w:abstractNumId w:val="0"/>
  </w:num>
  <w:num w:numId="8" w16cid:durableId="785739677">
    <w:abstractNumId w:val="1"/>
  </w:num>
  <w:num w:numId="9" w16cid:durableId="1300113196">
    <w:abstractNumId w:val="15"/>
  </w:num>
  <w:num w:numId="10" w16cid:durableId="1592279227">
    <w:abstractNumId w:val="14"/>
  </w:num>
  <w:num w:numId="11" w16cid:durableId="1946616434">
    <w:abstractNumId w:val="8"/>
  </w:num>
  <w:num w:numId="12" w16cid:durableId="1370060065">
    <w:abstractNumId w:val="9"/>
  </w:num>
  <w:num w:numId="13" w16cid:durableId="1535463292">
    <w:abstractNumId w:val="11"/>
  </w:num>
  <w:num w:numId="14" w16cid:durableId="1390882678">
    <w:abstractNumId w:val="12"/>
  </w:num>
  <w:num w:numId="15" w16cid:durableId="241917063">
    <w:abstractNumId w:val="7"/>
  </w:num>
  <w:num w:numId="16" w16cid:durableId="13267878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bordersDoNotSurroundHeader/>
  <w:bordersDoNotSurroundFooter/>
  <w:defaultTabStop w:val="420"/>
  <w:drawingGridHorizontalSpacing w:val="140"/>
  <w:drawingGridVerticalSpacing w:val="381"/>
  <w:displayHorizontalDrawingGridEvery w:val="2"/>
  <w:characterSpacingControl w:val="doNotCompres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7144A"/>
    <w:rsid w:val="000029E7"/>
    <w:rsid w:val="000643E3"/>
    <w:rsid w:val="00066522"/>
    <w:rsid w:val="0008287D"/>
    <w:rsid w:val="00086075"/>
    <w:rsid w:val="000B3D1F"/>
    <w:rsid w:val="000C5058"/>
    <w:rsid w:val="000D5CED"/>
    <w:rsid w:val="000E33A1"/>
    <w:rsid w:val="00111A6B"/>
    <w:rsid w:val="00135BC6"/>
    <w:rsid w:val="001474EA"/>
    <w:rsid w:val="00151B5B"/>
    <w:rsid w:val="001A055E"/>
    <w:rsid w:val="001E4C8D"/>
    <w:rsid w:val="0021342E"/>
    <w:rsid w:val="002867CE"/>
    <w:rsid w:val="002A67D9"/>
    <w:rsid w:val="002F1B79"/>
    <w:rsid w:val="00331E96"/>
    <w:rsid w:val="003A0501"/>
    <w:rsid w:val="003D2C81"/>
    <w:rsid w:val="00416DC4"/>
    <w:rsid w:val="0042137E"/>
    <w:rsid w:val="00445C54"/>
    <w:rsid w:val="00494EC1"/>
    <w:rsid w:val="004F1232"/>
    <w:rsid w:val="00517EA5"/>
    <w:rsid w:val="005330F0"/>
    <w:rsid w:val="005363EB"/>
    <w:rsid w:val="00552751"/>
    <w:rsid w:val="00592EAB"/>
    <w:rsid w:val="005D70E5"/>
    <w:rsid w:val="005E2A32"/>
    <w:rsid w:val="006206F0"/>
    <w:rsid w:val="0062177E"/>
    <w:rsid w:val="00643E5C"/>
    <w:rsid w:val="00680FB9"/>
    <w:rsid w:val="006955D0"/>
    <w:rsid w:val="006A7565"/>
    <w:rsid w:val="00705B53"/>
    <w:rsid w:val="007278D1"/>
    <w:rsid w:val="00794DCB"/>
    <w:rsid w:val="007E4C90"/>
    <w:rsid w:val="008028FB"/>
    <w:rsid w:val="00811E19"/>
    <w:rsid w:val="0087561B"/>
    <w:rsid w:val="0089056D"/>
    <w:rsid w:val="008D4E7E"/>
    <w:rsid w:val="008F218F"/>
    <w:rsid w:val="008F7150"/>
    <w:rsid w:val="00934F02"/>
    <w:rsid w:val="00984B17"/>
    <w:rsid w:val="00984B21"/>
    <w:rsid w:val="009B5582"/>
    <w:rsid w:val="009D60B6"/>
    <w:rsid w:val="009F47B1"/>
    <w:rsid w:val="00A35DBF"/>
    <w:rsid w:val="00A430FB"/>
    <w:rsid w:val="00A555CB"/>
    <w:rsid w:val="00AC19B0"/>
    <w:rsid w:val="00B47846"/>
    <w:rsid w:val="00B83785"/>
    <w:rsid w:val="00BA32CA"/>
    <w:rsid w:val="00BB0040"/>
    <w:rsid w:val="00BB3B85"/>
    <w:rsid w:val="00BB6D7C"/>
    <w:rsid w:val="00BD270E"/>
    <w:rsid w:val="00BF0128"/>
    <w:rsid w:val="00C07B1B"/>
    <w:rsid w:val="00C31061"/>
    <w:rsid w:val="00C4392D"/>
    <w:rsid w:val="00C44E3D"/>
    <w:rsid w:val="00C540EE"/>
    <w:rsid w:val="00C7144A"/>
    <w:rsid w:val="00C94177"/>
    <w:rsid w:val="00CD06B9"/>
    <w:rsid w:val="00D07EF4"/>
    <w:rsid w:val="00D4006F"/>
    <w:rsid w:val="00D545C7"/>
    <w:rsid w:val="00D71EDF"/>
    <w:rsid w:val="00D77FFE"/>
    <w:rsid w:val="00DA206C"/>
    <w:rsid w:val="00DA3617"/>
    <w:rsid w:val="00DC26F7"/>
    <w:rsid w:val="00DC7A3C"/>
    <w:rsid w:val="00DF6093"/>
    <w:rsid w:val="00E31241"/>
    <w:rsid w:val="00E53EAD"/>
    <w:rsid w:val="00E712FC"/>
    <w:rsid w:val="00E92EF9"/>
    <w:rsid w:val="00EA75DF"/>
    <w:rsid w:val="00EF6525"/>
    <w:rsid w:val="00F16C6A"/>
    <w:rsid w:val="00F52302"/>
    <w:rsid w:val="00F70F02"/>
    <w:rsid w:val="00F712EE"/>
    <w:rsid w:val="00F839CB"/>
    <w:rsid w:val="00FE3A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44805"/>
  <w15:docId w15:val="{2FC5E64C-C5B3-4D06-9A00-505D3EE30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88" w:lineRule="auto"/>
      <w:ind w:firstLineChars="200" w:firstLine="723"/>
      <w:jc w:val="both"/>
    </w:pPr>
    <w:rPr>
      <w:kern w:val="2"/>
      <w:sz w:val="28"/>
      <w:szCs w:val="24"/>
    </w:rPr>
  </w:style>
  <w:style w:type="paragraph" w:styleId="1">
    <w:name w:val="heading 1"/>
    <w:basedOn w:val="a"/>
    <w:next w:val="a"/>
    <w:link w:val="10"/>
    <w:uiPriority w:val="9"/>
    <w:qFormat/>
    <w:pPr>
      <w:keepNext/>
      <w:keepLines/>
      <w:spacing w:before="200" w:after="200" w:line="15" w:lineRule="auto"/>
      <w:ind w:firstLineChars="0" w:firstLine="0"/>
      <w:jc w:val="center"/>
      <w:outlineLvl w:val="0"/>
    </w:pPr>
    <w:rPr>
      <w:b/>
      <w:kern w:val="44"/>
      <w:sz w:val="36"/>
    </w:rPr>
  </w:style>
  <w:style w:type="paragraph" w:styleId="2">
    <w:name w:val="heading 2"/>
    <w:basedOn w:val="a"/>
    <w:next w:val="a"/>
    <w:link w:val="20"/>
    <w:uiPriority w:val="9"/>
    <w:semiHidden/>
    <w:unhideWhenUsed/>
    <w:qFormat/>
    <w:pPr>
      <w:keepNext/>
      <w:keepLines/>
      <w:spacing w:before="260" w:after="260" w:line="413" w:lineRule="auto"/>
      <w:ind w:firstLineChars="0" w:firstLine="0"/>
      <w:jc w:val="center"/>
      <w:outlineLvl w:val="1"/>
    </w:pPr>
    <w:rPr>
      <w:rFonts w:ascii="Arial" w:eastAsia="黑体" w:hAnsi="Arial"/>
      <w:b/>
      <w:sz w:val="30"/>
    </w:rPr>
  </w:style>
  <w:style w:type="paragraph" w:styleId="3">
    <w:name w:val="heading 3"/>
    <w:basedOn w:val="a"/>
    <w:next w:val="a"/>
    <w:uiPriority w:val="9"/>
    <w:semiHidden/>
    <w:unhideWhenUsed/>
    <w:qFormat/>
    <w:pPr>
      <w:keepNext/>
      <w:keepLines/>
      <w:spacing w:before="260" w:after="260"/>
      <w:ind w:firstLineChars="0" w:firstLine="0"/>
      <w:jc w:val="left"/>
      <w:outlineLvl w:val="2"/>
    </w:pPr>
    <w:rPr>
      <w:rFonts w:eastAsia="黑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pPr>
      <w:ind w:leftChars="2500" w:left="100"/>
      <w:jc w:val="right"/>
    </w:pPr>
    <w:rPr>
      <w:rFonts w:eastAsia="仿宋"/>
      <w:sz w:val="24"/>
    </w:rPr>
  </w:style>
  <w:style w:type="paragraph" w:styleId="a5">
    <w:name w:val="Balloon Text"/>
    <w:basedOn w:val="a"/>
    <w:link w:val="a6"/>
    <w:uiPriority w:val="99"/>
    <w:qFormat/>
    <w:pPr>
      <w:spacing w:line="240" w:lineRule="auto"/>
    </w:pPr>
    <w:rPr>
      <w:sz w:val="18"/>
      <w:szCs w:val="18"/>
    </w:rPr>
  </w:style>
  <w:style w:type="paragraph" w:styleId="a7">
    <w:name w:val="footer"/>
    <w:basedOn w:val="a"/>
    <w:link w:val="a8"/>
    <w:uiPriority w:val="99"/>
    <w:qFormat/>
    <w:pPr>
      <w:tabs>
        <w:tab w:val="center" w:pos="4153"/>
        <w:tab w:val="right" w:pos="8306"/>
      </w:tabs>
      <w:snapToGrid w:val="0"/>
    </w:pPr>
    <w:rPr>
      <w:sz w:val="18"/>
    </w:rPr>
  </w:style>
  <w:style w:type="paragraph" w:styleId="a9">
    <w:name w:val="header"/>
    <w:basedOn w:val="a"/>
    <w:link w:val="a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b">
    <w:name w:val="footnote text"/>
    <w:basedOn w:val="a"/>
    <w:link w:val="ac"/>
    <w:uiPriority w:val="99"/>
    <w:qFormat/>
    <w:pPr>
      <w:snapToGrid w:val="0"/>
    </w:pPr>
    <w:rPr>
      <w:sz w:val="21"/>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qFormat/>
    <w:rPr>
      <w:color w:val="800080"/>
      <w:u w:val="single"/>
    </w:rPr>
  </w:style>
  <w:style w:type="character" w:styleId="af">
    <w:name w:val="Hyperlink"/>
    <w:basedOn w:val="a0"/>
    <w:uiPriority w:val="99"/>
    <w:qFormat/>
    <w:rPr>
      <w:rFonts w:ascii="Calibri" w:eastAsia="宋体" w:hAnsi="Calibri"/>
      <w:color w:val="000000"/>
      <w:u w:val="single"/>
    </w:rPr>
  </w:style>
  <w:style w:type="character" w:styleId="af0">
    <w:name w:val="footnote reference"/>
    <w:basedOn w:val="a0"/>
    <w:uiPriority w:val="99"/>
    <w:qFormat/>
    <w:rPr>
      <w:vertAlign w:val="superscript"/>
    </w:rPr>
  </w:style>
  <w:style w:type="paragraph" w:customStyle="1" w:styleId="af1">
    <w:name w:val="编者按"/>
    <w:basedOn w:val="a"/>
    <w:qFormat/>
    <w:rPr>
      <w:rFonts w:eastAsia="楷体"/>
      <w:sz w:val="24"/>
    </w:rPr>
  </w:style>
  <w:style w:type="character" w:customStyle="1" w:styleId="11">
    <w:name w:val="未处理的提及1"/>
    <w:basedOn w:val="a0"/>
    <w:uiPriority w:val="99"/>
    <w:qFormat/>
    <w:rPr>
      <w:color w:val="605E5C"/>
      <w:shd w:val="clear" w:color="auto" w:fill="E1DFDD"/>
    </w:rPr>
  </w:style>
  <w:style w:type="character" w:customStyle="1" w:styleId="a8">
    <w:name w:val="页脚 字符"/>
    <w:basedOn w:val="a0"/>
    <w:link w:val="a7"/>
    <w:uiPriority w:val="99"/>
    <w:qFormat/>
    <w:rPr>
      <w:rFonts w:eastAsia="宋体"/>
      <w:kern w:val="2"/>
      <w:sz w:val="18"/>
      <w:szCs w:val="24"/>
    </w:rPr>
  </w:style>
  <w:style w:type="character" w:customStyle="1" w:styleId="ac">
    <w:name w:val="脚注文本 字符"/>
    <w:basedOn w:val="a0"/>
    <w:link w:val="ab"/>
    <w:uiPriority w:val="99"/>
    <w:qFormat/>
    <w:rPr>
      <w:rFonts w:ascii="Calibri" w:eastAsia="宋体" w:hAnsi="Calibri"/>
      <w:kern w:val="2"/>
      <w:sz w:val="21"/>
      <w:szCs w:val="24"/>
    </w:rPr>
  </w:style>
  <w:style w:type="character" w:customStyle="1" w:styleId="a4">
    <w:name w:val="日期 字符"/>
    <w:basedOn w:val="a0"/>
    <w:link w:val="a3"/>
    <w:uiPriority w:val="99"/>
    <w:qFormat/>
    <w:rPr>
      <w:rFonts w:ascii="Calibri" w:eastAsia="仿宋" w:hAnsi="Calibri"/>
      <w:kern w:val="2"/>
      <w:sz w:val="24"/>
      <w:szCs w:val="24"/>
    </w:rPr>
  </w:style>
  <w:style w:type="paragraph" w:styleId="af2">
    <w:name w:val="List Paragraph"/>
    <w:basedOn w:val="a"/>
    <w:uiPriority w:val="99"/>
    <w:qFormat/>
    <w:pPr>
      <w:ind w:firstLine="420"/>
    </w:pPr>
  </w:style>
  <w:style w:type="character" w:customStyle="1" w:styleId="21">
    <w:name w:val="未处理的提及2"/>
    <w:basedOn w:val="a0"/>
    <w:uiPriority w:val="99"/>
    <w:qFormat/>
    <w:rPr>
      <w:color w:val="605E5C"/>
      <w:shd w:val="clear" w:color="auto" w:fill="E1DFDD"/>
    </w:rPr>
  </w:style>
  <w:style w:type="character" w:customStyle="1" w:styleId="a6">
    <w:name w:val="批注框文本 字符"/>
    <w:basedOn w:val="a0"/>
    <w:link w:val="a5"/>
    <w:uiPriority w:val="99"/>
    <w:qFormat/>
    <w:rPr>
      <w:rFonts w:eastAsia="宋体"/>
      <w:kern w:val="2"/>
      <w:sz w:val="18"/>
      <w:szCs w:val="18"/>
    </w:rPr>
  </w:style>
  <w:style w:type="paragraph" w:customStyle="1" w:styleId="af3">
    <w:name w:val="署名"/>
    <w:basedOn w:val="a"/>
    <w:qFormat/>
    <w:pPr>
      <w:jc w:val="right"/>
    </w:pPr>
    <w:rPr>
      <w:rFonts w:eastAsia="楷体"/>
      <w:sz w:val="18"/>
    </w:rPr>
  </w:style>
  <w:style w:type="paragraph" w:customStyle="1" w:styleId="af4">
    <w:name w:val="图片"/>
    <w:basedOn w:val="a"/>
    <w:qFormat/>
    <w:pPr>
      <w:ind w:firstLineChars="0" w:firstLine="0"/>
      <w:jc w:val="center"/>
    </w:pPr>
    <w:rPr>
      <w:rFonts w:eastAsia="楷体"/>
      <w:sz w:val="15"/>
    </w:rPr>
  </w:style>
  <w:style w:type="character" w:customStyle="1" w:styleId="10">
    <w:name w:val="标题 1 字符"/>
    <w:link w:val="1"/>
    <w:uiPriority w:val="9"/>
    <w:qFormat/>
    <w:rPr>
      <w:rFonts w:eastAsia="宋体"/>
      <w:b/>
      <w:kern w:val="44"/>
      <w:sz w:val="36"/>
    </w:rPr>
  </w:style>
  <w:style w:type="character" w:customStyle="1" w:styleId="30">
    <w:name w:val="未处理的提及3"/>
    <w:basedOn w:val="a0"/>
    <w:uiPriority w:val="99"/>
    <w:rPr>
      <w:color w:val="605E5C"/>
      <w:shd w:val="clear" w:color="auto" w:fill="E1DFDD"/>
    </w:rPr>
  </w:style>
  <w:style w:type="paragraph" w:styleId="af5">
    <w:name w:val="endnote text"/>
    <w:basedOn w:val="a"/>
    <w:link w:val="af6"/>
    <w:uiPriority w:val="99"/>
    <w:pPr>
      <w:snapToGrid w:val="0"/>
      <w:jc w:val="left"/>
    </w:pPr>
  </w:style>
  <w:style w:type="character" w:customStyle="1" w:styleId="af6">
    <w:name w:val="尾注文本 字符"/>
    <w:basedOn w:val="a0"/>
    <w:link w:val="af5"/>
    <w:uiPriority w:val="99"/>
    <w:rPr>
      <w:rFonts w:eastAsia="宋体"/>
      <w:kern w:val="2"/>
      <w:sz w:val="28"/>
      <w:szCs w:val="24"/>
    </w:rPr>
  </w:style>
  <w:style w:type="character" w:styleId="af7">
    <w:name w:val="endnote reference"/>
    <w:basedOn w:val="a0"/>
    <w:uiPriority w:val="99"/>
    <w:rPr>
      <w:vertAlign w:val="superscript"/>
    </w:rPr>
  </w:style>
  <w:style w:type="character" w:customStyle="1" w:styleId="4">
    <w:name w:val="未处理的提及4"/>
    <w:basedOn w:val="a0"/>
    <w:uiPriority w:val="99"/>
    <w:rPr>
      <w:color w:val="605E5C"/>
      <w:shd w:val="clear" w:color="auto" w:fill="E1DFDD"/>
    </w:rPr>
  </w:style>
  <w:style w:type="character" w:customStyle="1" w:styleId="5">
    <w:name w:val="未处理的提及5"/>
    <w:basedOn w:val="a0"/>
    <w:uiPriority w:val="99"/>
    <w:rPr>
      <w:color w:val="605E5C"/>
      <w:shd w:val="clear" w:color="auto" w:fill="E1DFDD"/>
    </w:rPr>
  </w:style>
  <w:style w:type="paragraph" w:styleId="af8">
    <w:name w:val="Normal (Web)"/>
    <w:basedOn w:val="a"/>
    <w:uiPriority w:val="99"/>
    <w:qFormat/>
    <w:pPr>
      <w:widowControl/>
      <w:spacing w:before="100" w:beforeAutospacing="1" w:after="100" w:afterAutospacing="1" w:line="240" w:lineRule="auto"/>
      <w:ind w:firstLineChars="0" w:firstLine="0"/>
      <w:jc w:val="left"/>
    </w:pPr>
    <w:rPr>
      <w:rFonts w:ascii="宋体" w:hAnsi="宋体"/>
      <w:kern w:val="0"/>
      <w:sz w:val="24"/>
    </w:rPr>
  </w:style>
  <w:style w:type="character" w:styleId="af9">
    <w:name w:val="Emphasis"/>
    <w:basedOn w:val="a0"/>
    <w:uiPriority w:val="20"/>
    <w:qFormat/>
    <w:rPr>
      <w:i/>
      <w:iCs/>
    </w:rPr>
  </w:style>
  <w:style w:type="character" w:styleId="afa">
    <w:name w:val="Strong"/>
    <w:basedOn w:val="a0"/>
    <w:uiPriority w:val="22"/>
    <w:qFormat/>
    <w:rPr>
      <w:b/>
      <w:bCs/>
    </w:rPr>
  </w:style>
  <w:style w:type="character" w:styleId="afb">
    <w:name w:val="annotation reference"/>
    <w:basedOn w:val="a0"/>
    <w:uiPriority w:val="99"/>
    <w:rPr>
      <w:sz w:val="21"/>
      <w:szCs w:val="21"/>
    </w:rPr>
  </w:style>
  <w:style w:type="paragraph" w:styleId="afc">
    <w:name w:val="annotation text"/>
    <w:basedOn w:val="a"/>
    <w:link w:val="afd"/>
    <w:uiPriority w:val="99"/>
    <w:pPr>
      <w:spacing w:line="240" w:lineRule="auto"/>
      <w:ind w:firstLineChars="0" w:firstLine="0"/>
      <w:jc w:val="left"/>
    </w:pPr>
    <w:rPr>
      <w:rFonts w:cs="Arial"/>
      <w:sz w:val="21"/>
      <w:szCs w:val="22"/>
    </w:rPr>
  </w:style>
  <w:style w:type="character" w:customStyle="1" w:styleId="afd">
    <w:name w:val="批注文字 字符"/>
    <w:basedOn w:val="a0"/>
    <w:link w:val="afc"/>
    <w:uiPriority w:val="99"/>
    <w:rPr>
      <w:rFonts w:cs="Arial"/>
      <w:kern w:val="2"/>
      <w:sz w:val="21"/>
      <w:szCs w:val="22"/>
    </w:rPr>
  </w:style>
  <w:style w:type="character" w:customStyle="1" w:styleId="6">
    <w:name w:val="未处理的提及6"/>
    <w:basedOn w:val="a0"/>
    <w:uiPriority w:val="99"/>
    <w:rPr>
      <w:color w:val="605E5C"/>
      <w:shd w:val="clear" w:color="auto" w:fill="E1DFDD"/>
    </w:rPr>
  </w:style>
  <w:style w:type="character" w:customStyle="1" w:styleId="fontstyle01">
    <w:name w:val="fontstyle01"/>
    <w:basedOn w:val="a0"/>
    <w:qFormat/>
    <w:rPr>
      <w:rFonts w:ascii="MinionPro-Regular" w:hAnsi="MinionPro-Regular" w:hint="default"/>
      <w:b w:val="0"/>
      <w:bCs w:val="0"/>
      <w:i w:val="0"/>
      <w:iCs w:val="0"/>
      <w:color w:val="CD171A"/>
      <w:sz w:val="60"/>
      <w:szCs w:val="60"/>
    </w:rPr>
  </w:style>
  <w:style w:type="character" w:customStyle="1" w:styleId="7">
    <w:name w:val="未处理的提及7"/>
    <w:basedOn w:val="a0"/>
    <w:uiPriority w:val="99"/>
    <w:rPr>
      <w:color w:val="605E5C"/>
      <w:shd w:val="clear" w:color="auto" w:fill="E1DFDD"/>
    </w:rPr>
  </w:style>
  <w:style w:type="character" w:customStyle="1" w:styleId="8">
    <w:name w:val="未处理的提及8"/>
    <w:basedOn w:val="a0"/>
    <w:uiPriority w:val="99"/>
    <w:rPr>
      <w:color w:val="605E5C"/>
      <w:shd w:val="clear" w:color="auto" w:fill="E1DFDD"/>
    </w:rPr>
  </w:style>
  <w:style w:type="character" w:customStyle="1" w:styleId="9">
    <w:name w:val="未处理的提及9"/>
    <w:basedOn w:val="a0"/>
    <w:uiPriority w:val="99"/>
    <w:rPr>
      <w:color w:val="605E5C"/>
      <w:shd w:val="clear" w:color="auto" w:fill="E1DFDD"/>
    </w:rPr>
  </w:style>
  <w:style w:type="character" w:customStyle="1" w:styleId="100">
    <w:name w:val="未处理的提及10"/>
    <w:basedOn w:val="a0"/>
    <w:uiPriority w:val="99"/>
    <w:rPr>
      <w:color w:val="605E5C"/>
      <w:shd w:val="clear" w:color="auto" w:fill="E1DFDD"/>
    </w:rPr>
  </w:style>
  <w:style w:type="character" w:customStyle="1" w:styleId="110">
    <w:name w:val="未处理的提及11"/>
    <w:basedOn w:val="a0"/>
    <w:uiPriority w:val="99"/>
    <w:rPr>
      <w:color w:val="605E5C"/>
      <w:shd w:val="clear" w:color="auto" w:fill="E1DFDD"/>
    </w:rPr>
  </w:style>
  <w:style w:type="character" w:customStyle="1" w:styleId="fontstyle21">
    <w:name w:val="fontstyle21"/>
    <w:basedOn w:val="a0"/>
    <w:rPr>
      <w:rFonts w:ascii="Calibri" w:hAnsi="Calibri" w:cs="Calibri" w:hint="default"/>
      <w:color w:val="000000"/>
      <w:sz w:val="22"/>
      <w:szCs w:val="22"/>
    </w:rPr>
  </w:style>
  <w:style w:type="paragraph" w:styleId="afe">
    <w:name w:val="Subtitle"/>
    <w:basedOn w:val="a"/>
    <w:next w:val="a"/>
    <w:link w:val="aff"/>
    <w:uiPriority w:val="11"/>
    <w:qFormat/>
    <w:pPr>
      <w:spacing w:before="240" w:after="60" w:line="312" w:lineRule="auto"/>
      <w:ind w:firstLineChars="0" w:firstLine="0"/>
      <w:jc w:val="center"/>
      <w:outlineLvl w:val="1"/>
    </w:pPr>
    <w:rPr>
      <w:rFonts w:ascii="Cambria" w:hAnsi="Cambria"/>
      <w:b/>
      <w:bCs/>
      <w:kern w:val="28"/>
      <w:sz w:val="32"/>
      <w:szCs w:val="32"/>
    </w:rPr>
  </w:style>
  <w:style w:type="character" w:customStyle="1" w:styleId="aff">
    <w:name w:val="副标题 字符"/>
    <w:basedOn w:val="a0"/>
    <w:link w:val="afe"/>
    <w:uiPriority w:val="11"/>
    <w:rPr>
      <w:rFonts w:ascii="Cambria" w:hAnsi="Cambria" w:cs="宋体"/>
      <w:b/>
      <w:bCs/>
      <w:kern w:val="28"/>
      <w:sz w:val="32"/>
      <w:szCs w:val="32"/>
    </w:rPr>
  </w:style>
  <w:style w:type="paragraph" w:styleId="aff0">
    <w:name w:val="Revision"/>
    <w:uiPriority w:val="99"/>
    <w:rPr>
      <w:kern w:val="2"/>
      <w:sz w:val="21"/>
      <w:szCs w:val="22"/>
    </w:rPr>
  </w:style>
  <w:style w:type="character" w:customStyle="1" w:styleId="12">
    <w:name w:val="未处理的提及12"/>
    <w:basedOn w:val="a0"/>
    <w:uiPriority w:val="99"/>
    <w:rPr>
      <w:color w:val="605E5C"/>
      <w:shd w:val="clear" w:color="auto" w:fill="E1DFDD"/>
    </w:rPr>
  </w:style>
  <w:style w:type="character" w:customStyle="1" w:styleId="13">
    <w:name w:val="未处理的提及13"/>
    <w:basedOn w:val="a0"/>
    <w:uiPriority w:val="99"/>
    <w:rPr>
      <w:color w:val="605E5C"/>
      <w:shd w:val="clear" w:color="auto" w:fill="E1DFDD"/>
    </w:rPr>
  </w:style>
  <w:style w:type="character" w:customStyle="1" w:styleId="14">
    <w:name w:val="未处理的提及14"/>
    <w:basedOn w:val="a0"/>
    <w:uiPriority w:val="99"/>
    <w:rPr>
      <w:color w:val="605E5C"/>
      <w:shd w:val="clear" w:color="auto" w:fill="E1DFDD"/>
    </w:rPr>
  </w:style>
  <w:style w:type="character" w:customStyle="1" w:styleId="15">
    <w:name w:val="未处理的提及15"/>
    <w:basedOn w:val="a0"/>
    <w:uiPriority w:val="99"/>
    <w:rPr>
      <w:color w:val="605E5C"/>
      <w:shd w:val="clear" w:color="auto" w:fill="E1DFDD"/>
    </w:rPr>
  </w:style>
  <w:style w:type="character" w:customStyle="1" w:styleId="16">
    <w:name w:val="未处理的提及16"/>
    <w:basedOn w:val="a0"/>
    <w:uiPriority w:val="99"/>
    <w:rPr>
      <w:color w:val="605E5C"/>
      <w:shd w:val="clear" w:color="auto" w:fill="E1DFDD"/>
    </w:rPr>
  </w:style>
  <w:style w:type="character" w:customStyle="1" w:styleId="20">
    <w:name w:val="标题 2 字符"/>
    <w:basedOn w:val="a0"/>
    <w:link w:val="2"/>
    <w:uiPriority w:val="9"/>
    <w:rPr>
      <w:rFonts w:ascii="Arial" w:eastAsia="黑体" w:hAnsi="Arial"/>
      <w:b/>
      <w:kern w:val="2"/>
      <w:sz w:val="30"/>
      <w:szCs w:val="24"/>
    </w:rPr>
  </w:style>
  <w:style w:type="character" w:customStyle="1" w:styleId="aa">
    <w:name w:val="页眉 字符"/>
    <w:basedOn w:val="a0"/>
    <w:link w:val="a9"/>
    <w:uiPriority w:val="99"/>
    <w:rPr>
      <w:kern w:val="2"/>
      <w:sz w:val="18"/>
      <w:szCs w:val="24"/>
    </w:rPr>
  </w:style>
  <w:style w:type="character" w:customStyle="1" w:styleId="17">
    <w:name w:val="未处理的提及17"/>
    <w:basedOn w:val="a0"/>
    <w:uiPriority w:val="99"/>
    <w:rPr>
      <w:color w:val="605E5C"/>
      <w:shd w:val="clear" w:color="auto" w:fill="E1DFDD"/>
    </w:rPr>
  </w:style>
  <w:style w:type="character" w:customStyle="1" w:styleId="18">
    <w:name w:val="未处理的提及18"/>
    <w:basedOn w:val="a0"/>
    <w:uiPriority w:val="99"/>
    <w:rPr>
      <w:color w:val="605E5C"/>
      <w:shd w:val="clear" w:color="auto" w:fill="E1DFDD"/>
    </w:rPr>
  </w:style>
  <w:style w:type="paragraph" w:styleId="TOC1">
    <w:name w:val="toc 1"/>
    <w:basedOn w:val="a"/>
    <w:next w:val="a"/>
    <w:uiPriority w:val="39"/>
    <w:pPr>
      <w:tabs>
        <w:tab w:val="right" w:leader="dot" w:pos="8148"/>
      </w:tabs>
      <w:ind w:leftChars="100" w:left="280" w:firstLineChars="0" w:firstLine="0"/>
    </w:pPr>
    <w:rPr>
      <w:rFonts w:ascii="黑体" w:eastAsia="黑体" w:hAnsi="黑体"/>
      <w:noProof/>
      <w:w w:val="80"/>
      <w:sz w:val="32"/>
      <w:szCs w:val="32"/>
    </w:rPr>
  </w:style>
  <w:style w:type="character" w:customStyle="1" w:styleId="19">
    <w:name w:val="未处理的提及19"/>
    <w:basedOn w:val="a0"/>
    <w:uiPriority w:val="99"/>
    <w:rPr>
      <w:color w:val="605E5C"/>
      <w:shd w:val="clear" w:color="auto" w:fill="E1DFDD"/>
    </w:rPr>
  </w:style>
  <w:style w:type="character" w:customStyle="1" w:styleId="200">
    <w:name w:val="未处理的提及20"/>
    <w:basedOn w:val="a0"/>
    <w:uiPriority w:val="99"/>
    <w:rPr>
      <w:color w:val="605E5C"/>
      <w:shd w:val="clear" w:color="auto" w:fill="E1DFDD"/>
    </w:rPr>
  </w:style>
  <w:style w:type="character" w:customStyle="1" w:styleId="210">
    <w:name w:val="未处理的提及21"/>
    <w:basedOn w:val="a0"/>
    <w:uiPriority w:val="99"/>
    <w:rPr>
      <w:color w:val="605E5C"/>
      <w:shd w:val="clear" w:color="auto" w:fill="E1DFDD"/>
    </w:rPr>
  </w:style>
  <w:style w:type="character" w:customStyle="1" w:styleId="22">
    <w:name w:val="未处理的提及22"/>
    <w:basedOn w:val="a0"/>
    <w:uiPriority w:val="99"/>
    <w:rPr>
      <w:color w:val="605E5C"/>
      <w:shd w:val="clear" w:color="auto" w:fill="E1DFDD"/>
    </w:rPr>
  </w:style>
  <w:style w:type="character" w:customStyle="1" w:styleId="23">
    <w:name w:val="未处理的提及23"/>
    <w:basedOn w:val="a0"/>
    <w:uiPriority w:val="99"/>
    <w:rPr>
      <w:color w:val="605E5C"/>
      <w:shd w:val="clear" w:color="auto" w:fill="E1DFDD"/>
    </w:rPr>
  </w:style>
  <w:style w:type="character" w:customStyle="1" w:styleId="24">
    <w:name w:val="未处理的提及24"/>
    <w:basedOn w:val="a0"/>
    <w:uiPriority w:val="99"/>
    <w:rPr>
      <w:color w:val="605E5C"/>
      <w:shd w:val="clear" w:color="auto" w:fill="E1DFDD"/>
    </w:rPr>
  </w:style>
  <w:style w:type="character" w:customStyle="1" w:styleId="25">
    <w:name w:val="未处理的提及25"/>
    <w:basedOn w:val="a0"/>
    <w:uiPriority w:val="99"/>
    <w:rPr>
      <w:color w:val="605E5C"/>
      <w:shd w:val="clear" w:color="auto" w:fill="E1DFDD"/>
    </w:rPr>
  </w:style>
  <w:style w:type="paragraph" w:styleId="aff1">
    <w:name w:val="annotation subject"/>
    <w:basedOn w:val="afc"/>
    <w:next w:val="afc"/>
    <w:link w:val="aff2"/>
    <w:uiPriority w:val="99"/>
    <w:pPr>
      <w:spacing w:line="288" w:lineRule="auto"/>
      <w:ind w:firstLineChars="200" w:firstLine="723"/>
    </w:pPr>
    <w:rPr>
      <w:rFonts w:cs="宋体"/>
      <w:b/>
      <w:bCs/>
      <w:sz w:val="28"/>
      <w:szCs w:val="24"/>
    </w:rPr>
  </w:style>
  <w:style w:type="character" w:customStyle="1" w:styleId="aff2">
    <w:name w:val="批注主题 字符"/>
    <w:basedOn w:val="afd"/>
    <w:link w:val="aff1"/>
    <w:uiPriority w:val="99"/>
    <w:rPr>
      <w:rFonts w:cs="Arial"/>
      <w:b/>
      <w:bCs/>
      <w:kern w:val="2"/>
      <w:sz w:val="28"/>
      <w:szCs w:val="24"/>
    </w:rPr>
  </w:style>
  <w:style w:type="character" w:customStyle="1" w:styleId="26">
    <w:name w:val="未处理的提及26"/>
    <w:basedOn w:val="a0"/>
    <w:uiPriority w:val="99"/>
    <w:rPr>
      <w:color w:val="605E5C"/>
      <w:shd w:val="clear" w:color="auto" w:fill="E1DFDD"/>
    </w:rPr>
  </w:style>
  <w:style w:type="paragraph" w:styleId="aff3">
    <w:name w:val="Document Map"/>
    <w:basedOn w:val="a"/>
    <w:link w:val="aff4"/>
    <w:uiPriority w:val="99"/>
    <w:rPr>
      <w:rFonts w:ascii="宋体"/>
      <w:sz w:val="18"/>
      <w:szCs w:val="18"/>
    </w:rPr>
  </w:style>
  <w:style w:type="character" w:customStyle="1" w:styleId="aff4">
    <w:name w:val="文档结构图 字符"/>
    <w:basedOn w:val="a0"/>
    <w:link w:val="aff3"/>
    <w:uiPriority w:val="99"/>
    <w:rPr>
      <w:rFonts w:ascii="宋体"/>
      <w:kern w:val="2"/>
      <w:sz w:val="18"/>
      <w:szCs w:val="18"/>
    </w:rPr>
  </w:style>
  <w:style w:type="character" w:customStyle="1" w:styleId="27">
    <w:name w:val="未处理的提及27"/>
    <w:basedOn w:val="a0"/>
    <w:uiPriority w:val="99"/>
    <w:rPr>
      <w:color w:val="605E5C"/>
      <w:shd w:val="clear" w:color="auto" w:fill="E1DFDD"/>
    </w:rPr>
  </w:style>
  <w:style w:type="character" w:customStyle="1" w:styleId="28">
    <w:name w:val="未处理的提及28"/>
    <w:basedOn w:val="a0"/>
    <w:uiPriority w:val="99"/>
    <w:rPr>
      <w:color w:val="605E5C"/>
      <w:shd w:val="clear" w:color="auto" w:fill="E1DFDD"/>
    </w:rPr>
  </w:style>
  <w:style w:type="character" w:styleId="aff5">
    <w:name w:val="Unresolved Mention"/>
    <w:basedOn w:val="a0"/>
    <w:uiPriority w:val="99"/>
    <w:semiHidden/>
    <w:unhideWhenUsed/>
    <w:rsid w:val="00DC2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323883">
      <w:bodyDiv w:val="1"/>
      <w:marLeft w:val="0"/>
      <w:marRight w:val="0"/>
      <w:marTop w:val="0"/>
      <w:marBottom w:val="0"/>
      <w:divBdr>
        <w:top w:val="none" w:sz="0" w:space="0" w:color="auto"/>
        <w:left w:val="none" w:sz="0" w:space="0" w:color="auto"/>
        <w:bottom w:val="none" w:sz="0" w:space="0" w:color="auto"/>
        <w:right w:val="none" w:sz="0" w:space="0" w:color="auto"/>
      </w:divBdr>
    </w:div>
    <w:div w:id="631591428">
      <w:bodyDiv w:val="1"/>
      <w:marLeft w:val="0"/>
      <w:marRight w:val="0"/>
      <w:marTop w:val="0"/>
      <w:marBottom w:val="0"/>
      <w:divBdr>
        <w:top w:val="none" w:sz="0" w:space="0" w:color="auto"/>
        <w:left w:val="none" w:sz="0" w:space="0" w:color="auto"/>
        <w:bottom w:val="none" w:sz="0" w:space="0" w:color="auto"/>
        <w:right w:val="none" w:sz="0" w:space="0" w:color="auto"/>
      </w:divBdr>
    </w:div>
    <w:div w:id="979189848">
      <w:bodyDiv w:val="1"/>
      <w:marLeft w:val="0"/>
      <w:marRight w:val="0"/>
      <w:marTop w:val="0"/>
      <w:marBottom w:val="0"/>
      <w:divBdr>
        <w:top w:val="none" w:sz="0" w:space="0" w:color="auto"/>
        <w:left w:val="none" w:sz="0" w:space="0" w:color="auto"/>
        <w:bottom w:val="none" w:sz="0" w:space="0" w:color="auto"/>
        <w:right w:val="none" w:sz="0" w:space="0" w:color="auto"/>
      </w:divBdr>
    </w:div>
    <w:div w:id="1646736840">
      <w:bodyDiv w:val="1"/>
      <w:marLeft w:val="0"/>
      <w:marRight w:val="0"/>
      <w:marTop w:val="0"/>
      <w:marBottom w:val="0"/>
      <w:divBdr>
        <w:top w:val="none" w:sz="0" w:space="0" w:color="auto"/>
        <w:left w:val="none" w:sz="0" w:space="0" w:color="auto"/>
        <w:bottom w:val="none" w:sz="0" w:space="0" w:color="auto"/>
        <w:right w:val="none" w:sz="0" w:space="0" w:color="auto"/>
      </w:divBdr>
    </w:div>
    <w:div w:id="1750036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www.causedupeuple.org/2024/01/12/theorie-comment-les-opprimes-peuvent-ils-se-liberer-breve-presentation-de-la-guerre-populaire/"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enroren.gr.jp/jp/english/2023/01/english230210_01.html"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seatable.cn/dtable/forms/ff203a21-e739-4321-bb63-3d9665873695/"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peoplesdispatch.org/2023/04/14/hungarian-society-is-in-a-social-crisis/" TargetMode="External"/><Relationship Id="rId10" Type="http://schemas.openxmlformats.org/officeDocument/2006/relationships/image" Target="media/image2.png"/><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6.jpeg"/></Relationships>
</file>

<file path=word/_rels/footnotes.xml.rels><?xml version="1.0" encoding="UTF-8" standalone="yes"?>
<Relationships xmlns="http://schemas.openxmlformats.org/package/2006/relationships"><Relationship Id="rId3" Type="http://schemas.openxmlformats.org/officeDocument/2006/relationships/hyperlink" Target="http://cpc.people.com.cn/GB/64162/64168/64562/65450/4429430.html" TargetMode="External"/><Relationship Id="rId2" Type="http://schemas.openxmlformats.org/officeDocument/2006/relationships/hyperlink" Target="https://www.marxists.org/chinese/linbiao/marxist.org-chinese-linbiao-196508.htm" TargetMode="External"/><Relationship Id="rId1" Type="http://schemas.openxmlformats.org/officeDocument/2006/relationships/hyperlink" Target="https://www.marxists.org/chinese/lenin-cworks/14/00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1"/>
    <customShpInfo spid="_x0000_s1044"/>
    <customShpInfo spid="_x0000_s1041"/>
    <customShpInfo spid="_x0000_s1029"/>
    <customShpInfo spid="_x0000_s1042"/>
    <customShpInfo spid="_x0000_s1043"/>
  </customShpExts>
</s:customData>
</file>

<file path=customXml/itemProps1.xml><?xml version="1.0" encoding="utf-8"?>
<ds:datastoreItem xmlns:ds="http://schemas.openxmlformats.org/officeDocument/2006/customXml" ds:itemID="{F65F8A9D-265C-43C8-9CE1-D4B77543494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11210</TotalTime>
  <Pages>29</Pages>
  <Words>2115</Words>
  <Characters>12056</Characters>
  <Application>Microsoft Office Word</Application>
  <DocSecurity>0</DocSecurity>
  <Lines>100</Lines>
  <Paragraphs>28</Paragraphs>
  <ScaleCrop>false</ScaleCrop>
  <Company>china</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13262</dc:creator>
  <cp:lastModifiedBy>wangbin</cp:lastModifiedBy>
  <cp:revision>1031</cp:revision>
  <cp:lastPrinted>2024-04-16T14:18:00Z</cp:lastPrinted>
  <dcterms:created xsi:type="dcterms:W3CDTF">2022-02-02T11:50:00Z</dcterms:created>
  <dcterms:modified xsi:type="dcterms:W3CDTF">2024-04-16T14:19:00Z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cbd615f2dfed4ddc8aaaf1b6eac1bc93_23</vt:lpwstr>
  </property>
</Properties>
</file>